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59" w:rsidRPr="009C3158" w:rsidRDefault="002E4159" w:rsidP="002E415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C3158">
        <w:rPr>
          <w:rFonts w:ascii="Arial" w:eastAsia="Arial" w:hAnsi="Arial" w:cs="Arial"/>
          <w:b/>
          <w:sz w:val="24"/>
          <w:szCs w:val="24"/>
        </w:rPr>
        <w:t xml:space="preserve">Developing context-related recommendations for best practice in technology-enhanced learning, teaching and assessment </w:t>
      </w:r>
    </w:p>
    <w:p w:rsidR="002E4159" w:rsidRDefault="002E4159" w:rsidP="002E4159">
      <w:pPr>
        <w:numPr>
          <w:ilvl w:val="0"/>
          <w:numId w:val="2"/>
        </w:numPr>
        <w:spacing w:before="240" w:after="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Authors</w:t>
      </w:r>
      <w:r w:rsidRPr="009C3158">
        <w:rPr>
          <w:rFonts w:ascii="Arial" w:eastAsia="Arial" w:hAnsi="Arial" w:cs="Arial"/>
          <w:sz w:val="24"/>
          <w:szCs w:val="24"/>
        </w:rPr>
        <w:t xml:space="preserve"> </w:t>
      </w:r>
    </w:p>
    <w:p w:rsidR="002E4159" w:rsidRDefault="002E4159" w:rsidP="002E4159">
      <w:pPr>
        <w:numPr>
          <w:ilvl w:val="0"/>
          <w:numId w:val="1"/>
        </w:numPr>
        <w:spacing w:before="240" w:after="0"/>
        <w:ind w:left="720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 xml:space="preserve">Mr </w:t>
      </w:r>
      <w:proofErr w:type="spellStart"/>
      <w:r>
        <w:rPr>
          <w:rFonts w:ascii="Arial" w:eastAsia="Arial" w:hAnsi="Arial" w:cs="Arial"/>
          <w:sz w:val="24"/>
          <w:szCs w:val="24"/>
          <w:lang w:val="en-GB"/>
        </w:rPr>
        <w:t>Sibusiso</w:t>
      </w:r>
      <w:proofErr w:type="spellEnd"/>
      <w:r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en-GB"/>
        </w:rPr>
        <w:t>Mdletshe</w:t>
      </w:r>
      <w:proofErr w:type="spellEnd"/>
      <w:r>
        <w:rPr>
          <w:rFonts w:ascii="Arial" w:eastAsia="Arial" w:hAnsi="Arial" w:cs="Arial"/>
          <w:sz w:val="24"/>
          <w:szCs w:val="24"/>
          <w:lang w:val="en-GB"/>
        </w:rPr>
        <w:t>, Head of Department, Medical Imaging and Radiation Sciences, Faculty of Health Sciences, University of Johannesburg (UJ) (Corresponding author) (</w:t>
      </w:r>
      <w:hyperlink r:id="rId5" w:history="1">
        <w:r w:rsidRPr="004F5347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sibusisom@uj.ac.za</w:t>
        </w:r>
      </w:hyperlink>
      <w:r>
        <w:rPr>
          <w:rFonts w:ascii="Arial" w:eastAsia="Arial" w:hAnsi="Arial" w:cs="Arial"/>
          <w:sz w:val="24"/>
          <w:szCs w:val="24"/>
          <w:lang w:val="en-GB"/>
        </w:rPr>
        <w:t xml:space="preserve">) </w:t>
      </w:r>
    </w:p>
    <w:p w:rsidR="002E4159" w:rsidRPr="009C3158" w:rsidRDefault="002E4159" w:rsidP="002E4159">
      <w:pPr>
        <w:numPr>
          <w:ilvl w:val="0"/>
          <w:numId w:val="1"/>
        </w:numPr>
        <w:spacing w:before="240" w:after="0"/>
        <w:ind w:left="720"/>
        <w:rPr>
          <w:rFonts w:ascii="Arial" w:eastAsia="Arial" w:hAnsi="Arial" w:cs="Arial"/>
          <w:sz w:val="24"/>
          <w:szCs w:val="24"/>
          <w:lang w:val="en-GB"/>
        </w:rPr>
      </w:pPr>
      <w:r w:rsidRPr="009C3158">
        <w:rPr>
          <w:rFonts w:ascii="Arial" w:eastAsia="Arial" w:hAnsi="Arial" w:cs="Arial"/>
          <w:sz w:val="24"/>
          <w:szCs w:val="24"/>
          <w:lang w:val="en-GB"/>
        </w:rPr>
        <w:t>Dr Jonathan McNulty, Head of Educational Development, Diagnostic Imaging, School of Medicine, UCD, Ireland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(</w:t>
      </w:r>
      <w:hyperlink r:id="rId6" w:history="1">
        <w:r w:rsidRPr="004F5347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jonathan.mcnulty@ucd.ie</w:t>
        </w:r>
      </w:hyperlink>
      <w:r>
        <w:rPr>
          <w:rFonts w:ascii="Arial" w:eastAsia="Arial" w:hAnsi="Arial" w:cs="Arial"/>
          <w:sz w:val="24"/>
          <w:szCs w:val="24"/>
          <w:lang w:val="en-GB"/>
        </w:rPr>
        <w:t xml:space="preserve">) </w:t>
      </w:r>
    </w:p>
    <w:p w:rsidR="002E4159" w:rsidRPr="00CA11E3" w:rsidRDefault="002E4159" w:rsidP="002E4159">
      <w:pPr>
        <w:numPr>
          <w:ilvl w:val="0"/>
          <w:numId w:val="1"/>
        </w:numPr>
        <w:spacing w:before="240" w:after="0"/>
        <w:ind w:left="720"/>
        <w:rPr>
          <w:rFonts w:ascii="Arial" w:eastAsia="Arial" w:hAnsi="Arial" w:cs="Arial"/>
          <w:sz w:val="24"/>
          <w:szCs w:val="24"/>
          <w:lang w:val="en-GB"/>
        </w:rPr>
      </w:pPr>
      <w:r w:rsidRPr="009C3158">
        <w:rPr>
          <w:rFonts w:ascii="Arial" w:eastAsia="Arial" w:hAnsi="Arial" w:cs="Arial"/>
          <w:sz w:val="24"/>
          <w:szCs w:val="24"/>
          <w:lang w:val="en-GB"/>
        </w:rPr>
        <w:t xml:space="preserve">Professor John </w:t>
      </w:r>
      <w:proofErr w:type="spellStart"/>
      <w:r w:rsidRPr="009C3158">
        <w:rPr>
          <w:rFonts w:ascii="Arial" w:eastAsia="Arial" w:hAnsi="Arial" w:cs="Arial"/>
          <w:sz w:val="24"/>
          <w:szCs w:val="24"/>
          <w:lang w:val="en-GB"/>
        </w:rPr>
        <w:t>Sandars</w:t>
      </w:r>
      <w:proofErr w:type="spellEnd"/>
      <w:r w:rsidRPr="009C3158">
        <w:rPr>
          <w:rFonts w:ascii="Arial" w:eastAsia="Arial" w:hAnsi="Arial" w:cs="Arial"/>
          <w:sz w:val="24"/>
          <w:szCs w:val="24"/>
          <w:lang w:val="en-GB"/>
        </w:rPr>
        <w:t>, Professor of Medical Education, Postgraduate Medical Institute (PGMI), Faculty of Health and Social Care, Edge Hill University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(</w:t>
      </w:r>
      <w:hyperlink r:id="rId7" w:history="1">
        <w:r w:rsidRPr="004F5347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John.Sandars@edgehill.ac.uk</w:t>
        </w:r>
      </w:hyperlink>
      <w:r>
        <w:rPr>
          <w:rFonts w:ascii="Arial" w:eastAsia="Arial" w:hAnsi="Arial" w:cs="Arial"/>
          <w:sz w:val="24"/>
          <w:szCs w:val="24"/>
          <w:lang w:val="en-GB"/>
        </w:rPr>
        <w:t>).</w:t>
      </w:r>
    </w:p>
    <w:p w:rsidR="002E4159" w:rsidRDefault="002E4159" w:rsidP="002E4159">
      <w:pPr>
        <w:numPr>
          <w:ilvl w:val="0"/>
          <w:numId w:val="2"/>
        </w:numPr>
        <w:spacing w:before="240" w:after="0"/>
        <w:ind w:left="360"/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rFonts w:ascii="Arial" w:eastAsia="Arial" w:hAnsi="Arial" w:cs="Arial"/>
          <w:b/>
          <w:sz w:val="24"/>
          <w:szCs w:val="24"/>
          <w:lang w:val="en-GB"/>
        </w:rPr>
        <w:t>Ethics Permission</w:t>
      </w:r>
    </w:p>
    <w:p w:rsidR="002E4159" w:rsidRDefault="002E4159" w:rsidP="002E4159">
      <w:pPr>
        <w:spacing w:before="240" w:after="0" w:line="360" w:lineRule="auto"/>
        <w:ind w:left="36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GB"/>
        </w:rPr>
        <w:t xml:space="preserve">Ethics clearance was issued by the UJ’s, </w:t>
      </w:r>
      <w:r w:rsidRPr="00CD2800">
        <w:rPr>
          <w:rFonts w:ascii="Arial" w:eastAsia="Arial" w:hAnsi="Arial" w:cs="Arial"/>
          <w:bCs/>
          <w:sz w:val="24"/>
          <w:szCs w:val="24"/>
        </w:rPr>
        <w:t xml:space="preserve">Faculty of Health Sciences, </w:t>
      </w:r>
      <w:proofErr w:type="gramStart"/>
      <w:r w:rsidRPr="00CD2800">
        <w:rPr>
          <w:rFonts w:ascii="Arial" w:eastAsia="Arial" w:hAnsi="Arial" w:cs="Arial"/>
          <w:bCs/>
          <w:sz w:val="24"/>
          <w:szCs w:val="24"/>
        </w:rPr>
        <w:t>Research</w:t>
      </w:r>
      <w:proofErr w:type="gramEnd"/>
      <w:r w:rsidRPr="00CD2800">
        <w:rPr>
          <w:rFonts w:ascii="Arial" w:eastAsia="Arial" w:hAnsi="Arial" w:cs="Arial"/>
          <w:bCs/>
          <w:sz w:val="24"/>
          <w:szCs w:val="24"/>
        </w:rPr>
        <w:t xml:space="preserve"> Ethics Committee (NHREC Registration no: REC-241112-035</w:t>
      </w:r>
      <w:r>
        <w:rPr>
          <w:rFonts w:ascii="Arial" w:eastAsia="Arial" w:hAnsi="Arial" w:cs="Arial"/>
          <w:bCs/>
          <w:sz w:val="24"/>
          <w:szCs w:val="24"/>
        </w:rPr>
        <w:t>).</w:t>
      </w:r>
    </w:p>
    <w:p w:rsidR="002E4159" w:rsidRPr="00BD26E6" w:rsidRDefault="002E4159" w:rsidP="002E4159">
      <w:pPr>
        <w:numPr>
          <w:ilvl w:val="0"/>
          <w:numId w:val="2"/>
        </w:numPr>
        <w:spacing w:before="240" w:after="0"/>
        <w:ind w:left="360"/>
        <w:rPr>
          <w:rFonts w:ascii="Arial" w:eastAsia="Arial" w:hAnsi="Arial" w:cs="Arial"/>
          <w:b/>
          <w:sz w:val="24"/>
          <w:szCs w:val="24"/>
          <w:lang w:val="en-GB"/>
        </w:rPr>
      </w:pPr>
      <w:r w:rsidRPr="00BD26E6">
        <w:rPr>
          <w:rFonts w:ascii="Arial" w:eastAsia="Arial" w:hAnsi="Arial" w:cs="Arial"/>
          <w:b/>
          <w:sz w:val="24"/>
          <w:szCs w:val="24"/>
          <w:lang w:val="en-GB"/>
        </w:rPr>
        <w:t>Funding sources</w:t>
      </w:r>
    </w:p>
    <w:p w:rsidR="002E4159" w:rsidRDefault="002E4159" w:rsidP="002E4159">
      <w:pPr>
        <w:spacing w:before="240" w:after="0"/>
        <w:ind w:left="360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This project was funded by the following:</w:t>
      </w:r>
    </w:p>
    <w:p w:rsidR="002E4159" w:rsidRDefault="002E4159" w:rsidP="002E4159">
      <w:pPr>
        <w:numPr>
          <w:ilvl w:val="0"/>
          <w:numId w:val="3"/>
        </w:numPr>
        <w:spacing w:before="240" w:after="0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Teaching Advancement at University (TAU) Project.</w:t>
      </w:r>
    </w:p>
    <w:p w:rsidR="002E4159" w:rsidRPr="00CA11E3" w:rsidRDefault="002E4159" w:rsidP="002E4159">
      <w:pPr>
        <w:numPr>
          <w:ilvl w:val="0"/>
          <w:numId w:val="3"/>
        </w:numPr>
        <w:spacing w:before="240" w:after="0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UJ’s Vice Chancellors Teacher Excellence Award.</w:t>
      </w:r>
    </w:p>
    <w:p w:rsidR="002E4159" w:rsidRPr="00BD26E6" w:rsidRDefault="002E4159" w:rsidP="002E4159">
      <w:pPr>
        <w:numPr>
          <w:ilvl w:val="0"/>
          <w:numId w:val="2"/>
        </w:numPr>
        <w:spacing w:before="240" w:after="0"/>
        <w:ind w:left="360"/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rFonts w:ascii="Arial" w:eastAsia="Arial" w:hAnsi="Arial" w:cs="Arial"/>
          <w:b/>
          <w:sz w:val="24"/>
          <w:szCs w:val="24"/>
          <w:lang w:val="en-GB"/>
        </w:rPr>
        <w:t>Keywords</w:t>
      </w:r>
    </w:p>
    <w:p w:rsidR="002E4159" w:rsidRPr="00CD2800" w:rsidRDefault="002E4159" w:rsidP="002E4159">
      <w:pPr>
        <w:spacing w:before="240" w:after="0"/>
        <w:ind w:left="360"/>
        <w:rPr>
          <w:rFonts w:ascii="Arial" w:eastAsia="Arial" w:hAnsi="Arial" w:cs="Arial"/>
          <w:sz w:val="24"/>
          <w:szCs w:val="24"/>
        </w:rPr>
      </w:pPr>
      <w:r w:rsidRPr="00BD26E6">
        <w:rPr>
          <w:rFonts w:ascii="Arial" w:eastAsia="Arial" w:hAnsi="Arial" w:cs="Arial"/>
          <w:sz w:val="24"/>
          <w:szCs w:val="24"/>
        </w:rPr>
        <w:t>Blended learning</w:t>
      </w:r>
      <w:r>
        <w:rPr>
          <w:rFonts w:ascii="Arial" w:eastAsia="Arial" w:hAnsi="Arial" w:cs="Arial"/>
          <w:sz w:val="24"/>
          <w:szCs w:val="24"/>
        </w:rPr>
        <w:t>; Constructivism; E</w:t>
      </w:r>
      <w:r w:rsidRPr="00BD26E6">
        <w:rPr>
          <w:rFonts w:ascii="Arial" w:eastAsia="Arial" w:hAnsi="Arial" w:cs="Arial"/>
          <w:sz w:val="24"/>
          <w:szCs w:val="24"/>
        </w:rPr>
        <w:t xml:space="preserve">-learning </w:t>
      </w:r>
      <w:r>
        <w:rPr>
          <w:rFonts w:ascii="Arial" w:eastAsia="Arial" w:hAnsi="Arial" w:cs="Arial"/>
          <w:sz w:val="24"/>
          <w:szCs w:val="24"/>
        </w:rPr>
        <w:t xml:space="preserve">context; </w:t>
      </w:r>
      <w:r w:rsidRPr="00BD26E6">
        <w:rPr>
          <w:rFonts w:ascii="Arial" w:eastAsia="Arial" w:hAnsi="Arial" w:cs="Arial"/>
          <w:sz w:val="24"/>
          <w:szCs w:val="24"/>
        </w:rPr>
        <w:t>Global South</w:t>
      </w:r>
      <w:r>
        <w:rPr>
          <w:rFonts w:ascii="Arial" w:eastAsia="Arial" w:hAnsi="Arial" w:cs="Arial"/>
          <w:sz w:val="24"/>
          <w:szCs w:val="24"/>
        </w:rPr>
        <w:t xml:space="preserve">; Pedagogy; </w:t>
      </w:r>
      <w:r w:rsidRPr="00BD26E6">
        <w:rPr>
          <w:rFonts w:ascii="Arial" w:eastAsia="Arial" w:hAnsi="Arial" w:cs="Arial"/>
          <w:sz w:val="24"/>
          <w:szCs w:val="24"/>
        </w:rPr>
        <w:t>TELTA</w:t>
      </w:r>
      <w:r>
        <w:rPr>
          <w:rFonts w:ascii="Arial" w:eastAsia="Arial" w:hAnsi="Arial" w:cs="Arial"/>
          <w:sz w:val="24"/>
          <w:szCs w:val="24"/>
        </w:rPr>
        <w:t>.</w:t>
      </w:r>
    </w:p>
    <w:p w:rsidR="002E4159" w:rsidRPr="00495C33" w:rsidRDefault="002E4159" w:rsidP="002E4159">
      <w:pPr>
        <w:numPr>
          <w:ilvl w:val="0"/>
          <w:numId w:val="2"/>
        </w:numPr>
        <w:spacing w:before="240" w:after="0"/>
        <w:ind w:left="360"/>
        <w:rPr>
          <w:rFonts w:ascii="Arial" w:eastAsia="Arial" w:hAnsi="Arial" w:cs="Arial"/>
          <w:b/>
          <w:sz w:val="24"/>
          <w:szCs w:val="24"/>
          <w:lang w:val="en-GB"/>
        </w:rPr>
      </w:pPr>
      <w:r w:rsidRPr="00495C33">
        <w:rPr>
          <w:rFonts w:ascii="Arial" w:eastAsia="Arial" w:hAnsi="Arial" w:cs="Arial"/>
          <w:b/>
          <w:sz w:val="24"/>
          <w:szCs w:val="24"/>
          <w:lang w:val="en-GB"/>
        </w:rPr>
        <w:t>Plagiarism declaration</w:t>
      </w:r>
    </w:p>
    <w:p w:rsidR="002E4159" w:rsidRDefault="002E4159" w:rsidP="002E4159">
      <w:pPr>
        <w:spacing w:before="240" w:after="0" w:line="360" w:lineRule="auto"/>
        <w:ind w:left="360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We</w:t>
      </w:r>
      <w:r w:rsidRPr="00495C33">
        <w:rPr>
          <w:rFonts w:ascii="Arial" w:eastAsia="Arial" w:hAnsi="Arial" w:cs="Arial"/>
          <w:sz w:val="24"/>
          <w:szCs w:val="24"/>
          <w:lang w:val="en-GB"/>
        </w:rPr>
        <w:t xml:space="preserve"> acknowledge in submitting this </w:t>
      </w:r>
      <w:r>
        <w:rPr>
          <w:rFonts w:ascii="Arial" w:eastAsia="Arial" w:hAnsi="Arial" w:cs="Arial"/>
          <w:sz w:val="24"/>
          <w:szCs w:val="24"/>
          <w:lang w:val="en-GB"/>
        </w:rPr>
        <w:t>manuscript to the journal that we</w:t>
      </w:r>
      <w:r w:rsidRPr="00495C33">
        <w:rPr>
          <w:rFonts w:ascii="Arial" w:eastAsia="Arial" w:hAnsi="Arial" w:cs="Arial"/>
          <w:sz w:val="24"/>
          <w:szCs w:val="24"/>
          <w:lang w:val="en-GB"/>
        </w:rPr>
        <w:t xml:space="preserve"> have included all rele</w:t>
      </w:r>
      <w:r>
        <w:rPr>
          <w:rFonts w:ascii="Arial" w:eastAsia="Arial" w:hAnsi="Arial" w:cs="Arial"/>
          <w:sz w:val="24"/>
          <w:szCs w:val="24"/>
          <w:lang w:val="en-GB"/>
        </w:rPr>
        <w:t>vant citations and references. We</w:t>
      </w:r>
      <w:r w:rsidRPr="00495C33">
        <w:rPr>
          <w:rFonts w:ascii="Arial" w:eastAsia="Arial" w:hAnsi="Arial" w:cs="Arial"/>
          <w:sz w:val="24"/>
          <w:szCs w:val="24"/>
          <w:lang w:val="en-GB"/>
        </w:rPr>
        <w:t xml:space="preserve"> further acknowledge that this manuscript presents </w:t>
      </w:r>
      <w:r>
        <w:rPr>
          <w:rFonts w:ascii="Arial" w:eastAsia="Arial" w:hAnsi="Arial" w:cs="Arial"/>
          <w:sz w:val="24"/>
          <w:szCs w:val="24"/>
          <w:lang w:val="en-GB"/>
        </w:rPr>
        <w:t>our</w:t>
      </w:r>
      <w:r w:rsidRPr="00495C33">
        <w:rPr>
          <w:rFonts w:ascii="Arial" w:eastAsia="Arial" w:hAnsi="Arial" w:cs="Arial"/>
          <w:sz w:val="24"/>
          <w:szCs w:val="24"/>
          <w:lang w:val="en-GB"/>
        </w:rPr>
        <w:t xml:space="preserve"> own original work, and does not copy, borrow from, or represent other published research in a way that would constitute academic plagiarism.</w:t>
      </w:r>
    </w:p>
    <w:p w:rsidR="002E4159" w:rsidRPr="009C3158" w:rsidRDefault="002E4159" w:rsidP="002E4159">
      <w:pPr>
        <w:ind w:left="360"/>
        <w:rPr>
          <w:rFonts w:ascii="Arial" w:eastAsia="Arial" w:hAnsi="Arial" w:cs="Arial"/>
          <w:sz w:val="24"/>
          <w:szCs w:val="24"/>
          <w:lang w:val="en-GB"/>
        </w:rPr>
      </w:pPr>
    </w:p>
    <w:p w:rsidR="002E4159" w:rsidRDefault="002E4159" w:rsidP="002E4159"/>
    <w:p w:rsidR="000F7B75" w:rsidRDefault="002E4159">
      <w:bookmarkStart w:id="0" w:name="_GoBack"/>
      <w:bookmarkEnd w:id="0"/>
    </w:p>
    <w:sectPr w:rsidR="000F7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53AE"/>
    <w:multiLevelType w:val="hybridMultilevel"/>
    <w:tmpl w:val="138E6B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A4916"/>
    <w:multiLevelType w:val="hybridMultilevel"/>
    <w:tmpl w:val="372E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E4931"/>
    <w:multiLevelType w:val="hybridMultilevel"/>
    <w:tmpl w:val="98741596"/>
    <w:lvl w:ilvl="0" w:tplc="5C549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59"/>
    <w:rsid w:val="002E4159"/>
    <w:rsid w:val="003C2CC5"/>
    <w:rsid w:val="00B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23A08-A2A8-42CB-9CBC-88A7179D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5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41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.Sandars@edgehil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athan.mcnulty@ucd.ie" TargetMode="External"/><Relationship Id="rId5" Type="http://schemas.openxmlformats.org/officeDocument/2006/relationships/hyperlink" Target="mailto:sibusisom@uj.ac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2017-10-27T12:53:00Z</dcterms:created>
  <dcterms:modified xsi:type="dcterms:W3CDTF">2017-10-27T12:54:00Z</dcterms:modified>
</cp:coreProperties>
</file>