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41" w:rsidRDefault="00792141" w:rsidP="00792141">
      <w:pPr>
        <w:spacing w:after="336" w:line="360" w:lineRule="auto"/>
        <w:ind w:left="456" w:hanging="456"/>
        <w:jc w:val="center"/>
        <w:rPr>
          <w:rFonts w:cstheme="minorHAnsi"/>
          <w:sz w:val="28"/>
          <w:szCs w:val="28"/>
          <w:lang w:val="en-SG"/>
        </w:rPr>
      </w:pPr>
      <w:r w:rsidRPr="002A4B0C">
        <w:rPr>
          <w:rFonts w:cstheme="minorHAnsi"/>
          <w:sz w:val="28"/>
          <w:szCs w:val="28"/>
          <w:lang w:val="en-SG"/>
        </w:rPr>
        <w:t>Abstract</w:t>
      </w:r>
    </w:p>
    <w:p w:rsidR="00792141" w:rsidRDefault="00792141" w:rsidP="00792141">
      <w:pPr>
        <w:spacing w:after="336" w:line="360" w:lineRule="auto"/>
        <w:ind w:left="456" w:hanging="456"/>
        <w:jc w:val="center"/>
        <w:rPr>
          <w:rFonts w:cstheme="minorHAnsi"/>
          <w:sz w:val="28"/>
          <w:szCs w:val="28"/>
          <w:lang w:val="en-SG"/>
        </w:rPr>
      </w:pPr>
      <w:r>
        <w:rPr>
          <w:rFonts w:cstheme="minorHAnsi"/>
          <w:sz w:val="28"/>
          <w:szCs w:val="28"/>
          <w:lang w:val="en-SG"/>
        </w:rPr>
        <w:t>Contextualising Contexts – Scholarship of Teaching and Learning and Cultural Difference</w:t>
      </w:r>
    </w:p>
    <w:p w:rsidR="00792141" w:rsidRDefault="00792141" w:rsidP="00792141">
      <w:pPr>
        <w:spacing w:after="336" w:line="360" w:lineRule="auto"/>
        <w:ind w:left="456" w:hanging="456"/>
        <w:jc w:val="center"/>
        <w:rPr>
          <w:rFonts w:cstheme="minorHAnsi"/>
          <w:sz w:val="28"/>
          <w:szCs w:val="28"/>
          <w:lang w:val="en-SG"/>
        </w:rPr>
      </w:pPr>
    </w:p>
    <w:p w:rsidR="00792141" w:rsidRPr="002A4B0C" w:rsidRDefault="00792141" w:rsidP="00792141">
      <w:pPr>
        <w:spacing w:after="336" w:line="360" w:lineRule="auto"/>
        <w:ind w:left="270" w:hanging="456"/>
        <w:rPr>
          <w:rFonts w:cstheme="minorHAnsi"/>
          <w:sz w:val="24"/>
          <w:szCs w:val="24"/>
          <w:lang w:val="en-SG"/>
        </w:rPr>
      </w:pPr>
      <w:proofErr w:type="spellStart"/>
      <w:r>
        <w:rPr>
          <w:rFonts w:cstheme="minorHAnsi"/>
          <w:sz w:val="24"/>
          <w:szCs w:val="24"/>
          <w:lang w:val="en-SG"/>
        </w:rPr>
        <w:t>SoTL</w:t>
      </w:r>
      <w:proofErr w:type="spellEnd"/>
      <w:r>
        <w:rPr>
          <w:rFonts w:cstheme="minorHAnsi"/>
          <w:sz w:val="24"/>
          <w:szCs w:val="24"/>
          <w:lang w:val="en-SG"/>
        </w:rPr>
        <w:t xml:space="preserve"> has</w:t>
      </w:r>
      <w:r w:rsidR="004558A9">
        <w:rPr>
          <w:rFonts w:cstheme="minorHAnsi"/>
          <w:sz w:val="24"/>
          <w:szCs w:val="24"/>
          <w:lang w:val="en-SG"/>
        </w:rPr>
        <w:t xml:space="preserve"> a well-rehearsed history and</w:t>
      </w:r>
      <w:r>
        <w:rPr>
          <w:rFonts w:cstheme="minorHAnsi"/>
          <w:sz w:val="24"/>
          <w:szCs w:val="24"/>
          <w:lang w:val="en-SG"/>
        </w:rPr>
        <w:t xml:space="preserve"> </w:t>
      </w:r>
      <w:proofErr w:type="spellStart"/>
      <w:r>
        <w:rPr>
          <w:rFonts w:cstheme="minorHAnsi"/>
          <w:sz w:val="24"/>
          <w:szCs w:val="24"/>
          <w:lang w:val="en-SG"/>
        </w:rPr>
        <w:t>originary</w:t>
      </w:r>
      <w:proofErr w:type="spellEnd"/>
      <w:r>
        <w:rPr>
          <w:rFonts w:cstheme="minorHAnsi"/>
          <w:sz w:val="24"/>
          <w:szCs w:val="24"/>
          <w:lang w:val="en-SG"/>
        </w:rPr>
        <w:t xml:space="preserve"> moment.  It </w:t>
      </w:r>
      <w:proofErr w:type="gramStart"/>
      <w:r>
        <w:rPr>
          <w:rFonts w:cstheme="minorHAnsi"/>
          <w:sz w:val="24"/>
          <w:szCs w:val="24"/>
          <w:lang w:val="en-SG"/>
        </w:rPr>
        <w:t>has been constructed</w:t>
      </w:r>
      <w:proofErr w:type="gramEnd"/>
      <w:r>
        <w:rPr>
          <w:rFonts w:cstheme="minorHAnsi"/>
          <w:sz w:val="24"/>
          <w:szCs w:val="24"/>
          <w:lang w:val="en-SG"/>
        </w:rPr>
        <w:t xml:space="preserve"> as an appro</w:t>
      </w:r>
      <w:r>
        <w:rPr>
          <w:rFonts w:cstheme="minorHAnsi"/>
          <w:sz w:val="24"/>
          <w:szCs w:val="24"/>
          <w:lang w:val="en-SG"/>
        </w:rPr>
        <w:t>ach to understanding teaching and learning with a focus on reflective practice to improve practice and stude</w:t>
      </w:r>
      <w:r w:rsidR="004558A9">
        <w:rPr>
          <w:rFonts w:cstheme="minorHAnsi"/>
          <w:sz w:val="24"/>
          <w:szCs w:val="24"/>
          <w:lang w:val="en-SG"/>
        </w:rPr>
        <w:t>nt learning.  The focus</w:t>
      </w:r>
      <w:r>
        <w:rPr>
          <w:rFonts w:cstheme="minorHAnsi"/>
          <w:sz w:val="24"/>
          <w:szCs w:val="24"/>
          <w:lang w:val="en-SG"/>
        </w:rPr>
        <w:t xml:space="preserve"> is narrow, and does not take sociocultural influences on learning into account.  This paper argues that the narrow focus of </w:t>
      </w:r>
      <w:proofErr w:type="spellStart"/>
      <w:r>
        <w:rPr>
          <w:rFonts w:cstheme="minorHAnsi"/>
          <w:sz w:val="24"/>
          <w:szCs w:val="24"/>
          <w:lang w:val="en-SG"/>
        </w:rPr>
        <w:t>SoTL</w:t>
      </w:r>
      <w:proofErr w:type="spellEnd"/>
      <w:r>
        <w:rPr>
          <w:rFonts w:cstheme="minorHAnsi"/>
          <w:sz w:val="24"/>
          <w:szCs w:val="24"/>
          <w:lang w:val="en-SG"/>
        </w:rPr>
        <w:t xml:space="preserve"> on the ‘classroom’, and on cognitive measures of success, conform</w:t>
      </w:r>
      <w:r w:rsidR="004558A9">
        <w:rPr>
          <w:rFonts w:cstheme="minorHAnsi"/>
          <w:sz w:val="24"/>
          <w:szCs w:val="24"/>
          <w:lang w:val="en-SG"/>
        </w:rPr>
        <w:t>s</w:t>
      </w:r>
      <w:r>
        <w:rPr>
          <w:rFonts w:cstheme="minorHAnsi"/>
          <w:sz w:val="24"/>
          <w:szCs w:val="24"/>
          <w:lang w:val="en-SG"/>
        </w:rPr>
        <w:t xml:space="preserve"> to a Western view of what is valuable in education.  </w:t>
      </w:r>
      <w:r w:rsidR="004558A9">
        <w:rPr>
          <w:rFonts w:cstheme="minorHAnsi"/>
          <w:sz w:val="24"/>
          <w:szCs w:val="24"/>
          <w:lang w:val="en-SG"/>
        </w:rPr>
        <w:t>T</w:t>
      </w:r>
      <w:r>
        <w:rPr>
          <w:rFonts w:cstheme="minorHAnsi"/>
          <w:sz w:val="24"/>
          <w:szCs w:val="24"/>
          <w:lang w:val="en-SG"/>
        </w:rPr>
        <w:t xml:space="preserve">his narrowing of focus to an instrumentalist perspective allows the process of </w:t>
      </w:r>
      <w:proofErr w:type="spellStart"/>
      <w:r>
        <w:rPr>
          <w:rFonts w:cstheme="minorHAnsi"/>
          <w:sz w:val="24"/>
          <w:szCs w:val="24"/>
          <w:lang w:val="en-SG"/>
        </w:rPr>
        <w:t>SoTL</w:t>
      </w:r>
      <w:proofErr w:type="spellEnd"/>
      <w:r>
        <w:rPr>
          <w:rFonts w:cstheme="minorHAnsi"/>
          <w:sz w:val="24"/>
          <w:szCs w:val="24"/>
          <w:lang w:val="en-SG"/>
        </w:rPr>
        <w:t xml:space="preserve"> to seem universally applicable. Using </w:t>
      </w:r>
      <w:proofErr w:type="spellStart"/>
      <w:r>
        <w:rPr>
          <w:rFonts w:cstheme="minorHAnsi"/>
          <w:sz w:val="24"/>
          <w:szCs w:val="24"/>
          <w:lang w:val="en-SG"/>
        </w:rPr>
        <w:t>Chakrabarty’s</w:t>
      </w:r>
      <w:proofErr w:type="spellEnd"/>
      <w:r>
        <w:rPr>
          <w:rFonts w:cstheme="minorHAnsi"/>
          <w:sz w:val="24"/>
          <w:szCs w:val="24"/>
          <w:lang w:val="en-SG"/>
        </w:rPr>
        <w:t xml:space="preserve"> notion of “provincializing Europe”, some structural elements of </w:t>
      </w:r>
      <w:proofErr w:type="spellStart"/>
      <w:r>
        <w:rPr>
          <w:rFonts w:cstheme="minorHAnsi"/>
          <w:sz w:val="24"/>
          <w:szCs w:val="24"/>
          <w:lang w:val="en-SG"/>
        </w:rPr>
        <w:t>SoTL</w:t>
      </w:r>
      <w:proofErr w:type="spellEnd"/>
      <w:r>
        <w:rPr>
          <w:rFonts w:cstheme="minorHAnsi"/>
          <w:sz w:val="24"/>
          <w:szCs w:val="24"/>
          <w:lang w:val="en-SG"/>
        </w:rPr>
        <w:t xml:space="preserve"> history are analysed with an eye to provincializing </w:t>
      </w:r>
      <w:proofErr w:type="spellStart"/>
      <w:r>
        <w:rPr>
          <w:rFonts w:cstheme="minorHAnsi"/>
          <w:sz w:val="24"/>
          <w:szCs w:val="24"/>
          <w:lang w:val="en-SG"/>
        </w:rPr>
        <w:t>SoTL</w:t>
      </w:r>
      <w:proofErr w:type="spellEnd"/>
      <w:r>
        <w:rPr>
          <w:rFonts w:cstheme="minorHAnsi"/>
          <w:sz w:val="24"/>
          <w:szCs w:val="24"/>
          <w:lang w:val="en-SG"/>
        </w:rPr>
        <w:t>.  A personal teaching experience across two culture</w:t>
      </w:r>
      <w:r w:rsidR="004558A9">
        <w:rPr>
          <w:rFonts w:cstheme="minorHAnsi"/>
          <w:sz w:val="24"/>
          <w:szCs w:val="24"/>
          <w:lang w:val="en-SG"/>
        </w:rPr>
        <w:t xml:space="preserve">s is analysed to demonstrate the inability of </w:t>
      </w:r>
      <w:proofErr w:type="spellStart"/>
      <w:r w:rsidR="004558A9">
        <w:rPr>
          <w:rFonts w:cstheme="minorHAnsi"/>
          <w:sz w:val="24"/>
          <w:szCs w:val="24"/>
          <w:lang w:val="en-SG"/>
        </w:rPr>
        <w:t>SoTL</w:t>
      </w:r>
      <w:proofErr w:type="spellEnd"/>
      <w:r w:rsidR="004558A9">
        <w:rPr>
          <w:rFonts w:cstheme="minorHAnsi"/>
          <w:sz w:val="24"/>
          <w:szCs w:val="24"/>
          <w:lang w:val="en-SG"/>
        </w:rPr>
        <w:t xml:space="preserve"> to comprehend the behaviour of students across different cultures without providing more contextual information.  Differences between East Asian and Western views of cognition </w:t>
      </w:r>
      <w:proofErr w:type="gramStart"/>
      <w:r w:rsidR="004558A9">
        <w:rPr>
          <w:rFonts w:cstheme="minorHAnsi"/>
          <w:sz w:val="24"/>
          <w:szCs w:val="24"/>
          <w:lang w:val="en-SG"/>
        </w:rPr>
        <w:t>are presented</w:t>
      </w:r>
      <w:proofErr w:type="gramEnd"/>
      <w:r w:rsidR="004558A9">
        <w:rPr>
          <w:rFonts w:cstheme="minorHAnsi"/>
          <w:sz w:val="24"/>
          <w:szCs w:val="24"/>
          <w:lang w:val="en-SG"/>
        </w:rPr>
        <w:t xml:space="preserve"> as means of demonstrating that cultural differences in learning have a significant effect on students learning. Finally, for </w:t>
      </w:r>
      <w:proofErr w:type="spellStart"/>
      <w:r w:rsidR="004558A9">
        <w:rPr>
          <w:rFonts w:cstheme="minorHAnsi"/>
          <w:sz w:val="24"/>
          <w:szCs w:val="24"/>
          <w:lang w:val="en-SG"/>
        </w:rPr>
        <w:t>SoTL</w:t>
      </w:r>
      <w:proofErr w:type="spellEnd"/>
      <w:r w:rsidR="004558A9">
        <w:rPr>
          <w:rFonts w:cstheme="minorHAnsi"/>
          <w:sz w:val="24"/>
          <w:szCs w:val="24"/>
          <w:lang w:val="en-SG"/>
        </w:rPr>
        <w:t xml:space="preserve"> to be meaningful </w:t>
      </w:r>
      <w:proofErr w:type="gramStart"/>
      <w:r w:rsidR="004558A9">
        <w:rPr>
          <w:rFonts w:cstheme="minorHAnsi"/>
          <w:sz w:val="24"/>
          <w:szCs w:val="24"/>
          <w:lang w:val="en-SG"/>
        </w:rPr>
        <w:t>internationally,</w:t>
      </w:r>
      <w:proofErr w:type="gramEnd"/>
      <w:r w:rsidR="004558A9">
        <w:rPr>
          <w:rFonts w:cstheme="minorHAnsi"/>
          <w:sz w:val="24"/>
          <w:szCs w:val="24"/>
          <w:lang w:val="en-SG"/>
        </w:rPr>
        <w:t xml:space="preserve"> not only does it need to be an approach that can comprehend cultural difference, it also needs to be genuinely decentred from Western hegemonic practice.</w:t>
      </w:r>
    </w:p>
    <w:p w:rsidR="006F5E7A" w:rsidRPr="00792141" w:rsidRDefault="00FC1599">
      <w:pPr>
        <w:rPr>
          <w:lang w:val="en-SG"/>
        </w:rPr>
      </w:pPr>
      <w:r>
        <w:rPr>
          <w:lang w:val="en-SG"/>
        </w:rPr>
        <w:t xml:space="preserve">Key words: </w:t>
      </w:r>
      <w:proofErr w:type="spellStart"/>
      <w:r>
        <w:rPr>
          <w:lang w:val="en-SG"/>
        </w:rPr>
        <w:t>SoTL</w:t>
      </w:r>
      <w:proofErr w:type="spellEnd"/>
      <w:r>
        <w:rPr>
          <w:lang w:val="en-SG"/>
        </w:rPr>
        <w:t xml:space="preserve">, context, </w:t>
      </w:r>
      <w:proofErr w:type="spellStart"/>
      <w:r>
        <w:rPr>
          <w:lang w:val="en-SG"/>
        </w:rPr>
        <w:t>contexualising</w:t>
      </w:r>
      <w:proofErr w:type="spellEnd"/>
      <w:r>
        <w:rPr>
          <w:lang w:val="en-SG"/>
        </w:rPr>
        <w:t>, generalisability, universalising, provincializing, cultural difference</w:t>
      </w:r>
      <w:bookmarkStart w:id="0" w:name="_GoBack"/>
      <w:bookmarkEnd w:id="0"/>
    </w:p>
    <w:sectPr w:rsidR="006F5E7A" w:rsidRPr="0079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41"/>
    <w:rsid w:val="0002575D"/>
    <w:rsid w:val="004558A9"/>
    <w:rsid w:val="00792141"/>
    <w:rsid w:val="00AA3B1C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DABE"/>
  <w15:chartTrackingRefBased/>
  <w15:docId w15:val="{C939DD38-9CB6-4C38-B991-DDBF47A2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41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1308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David Looker (Dr)</dc:creator>
  <cp:keywords/>
  <dc:description/>
  <cp:lastModifiedBy>Peter David Looker (Dr)</cp:lastModifiedBy>
  <cp:revision>1</cp:revision>
  <dcterms:created xsi:type="dcterms:W3CDTF">2017-10-30T06:46:00Z</dcterms:created>
  <dcterms:modified xsi:type="dcterms:W3CDTF">2017-10-30T07:09:00Z</dcterms:modified>
</cp:coreProperties>
</file>