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5D0C6" w14:textId="7A598D53" w:rsidR="00254B8E" w:rsidRPr="00254B8E" w:rsidRDefault="00254B8E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OpenSans-Italic"/>
          <w:b/>
          <w:bCs/>
          <w:iCs/>
          <w:color w:val="333333"/>
          <w:sz w:val="24"/>
          <w:szCs w:val="24"/>
        </w:rPr>
      </w:pPr>
      <w:r w:rsidRPr="00254B8E">
        <w:rPr>
          <w:rFonts w:cs="OpenSans-Italic"/>
          <w:b/>
          <w:bCs/>
          <w:iCs/>
          <w:color w:val="333333"/>
          <w:sz w:val="24"/>
          <w:szCs w:val="24"/>
        </w:rPr>
        <w:t>Review: envisioning a socially accountable doctor</w:t>
      </w:r>
    </w:p>
    <w:p w14:paraId="5D6EAFC2" w14:textId="77777777" w:rsidR="00254B8E" w:rsidRDefault="00254B8E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OpenSans-Italic"/>
          <w:bCs/>
          <w:iCs/>
          <w:color w:val="333333"/>
          <w:sz w:val="24"/>
          <w:szCs w:val="24"/>
        </w:rPr>
      </w:pPr>
    </w:p>
    <w:p w14:paraId="4938D4AA" w14:textId="5A572D38" w:rsidR="00CD1A71" w:rsidRPr="00B11A4A" w:rsidRDefault="00CD1A71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11A4A">
        <w:rPr>
          <w:rFonts w:cs="OpenSans-Italic"/>
          <w:bCs/>
          <w:iCs/>
          <w:color w:val="333333"/>
          <w:sz w:val="24"/>
          <w:szCs w:val="24"/>
        </w:rPr>
        <w:t>The topic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 xml:space="preserve"> </w:t>
      </w:r>
      <w:r w:rsidR="003778D3" w:rsidRPr="00B11A4A">
        <w:rPr>
          <w:rFonts w:cs="OpenSans-Italic"/>
          <w:bCs/>
          <w:iCs/>
          <w:color w:val="333333"/>
          <w:sz w:val="24"/>
          <w:szCs w:val="24"/>
        </w:rPr>
        <w:t xml:space="preserve">of social accountability 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>of medical students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 is 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interesting and the subject matter is important and relevant </w:t>
      </w:r>
      <w:bookmarkStart w:id="0" w:name="_GoBack"/>
      <w:bookmarkEnd w:id="0"/>
      <w:r w:rsidRPr="00B11A4A">
        <w:rPr>
          <w:rFonts w:cs="OpenSans-Italic"/>
          <w:bCs/>
          <w:iCs/>
          <w:color w:val="333333"/>
          <w:sz w:val="24"/>
          <w:szCs w:val="24"/>
        </w:rPr>
        <w:t>to the times in which we live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>, especially in South Africa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. 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The data 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>collected in the study demonstrate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 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 xml:space="preserve">the 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rich 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 xml:space="preserve">and nuanced experiences that medical students have in an unequal society such as south Africa, </w:t>
      </w:r>
      <w:r w:rsidRPr="00B11A4A">
        <w:rPr>
          <w:rFonts w:cs="OpenSans-Italic"/>
          <w:bCs/>
          <w:iCs/>
          <w:color w:val="333333"/>
          <w:sz w:val="24"/>
          <w:szCs w:val="24"/>
        </w:rPr>
        <w:t>and the emergent themes are interesting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 xml:space="preserve"> and generally well-argued</w:t>
      </w:r>
      <w:r w:rsidRPr="00B11A4A">
        <w:rPr>
          <w:rFonts w:cs="OpenSans-Italic"/>
          <w:bCs/>
          <w:iCs/>
          <w:color w:val="333333"/>
          <w:sz w:val="24"/>
          <w:szCs w:val="24"/>
        </w:rPr>
        <w:t>. The conclusion is punchy and to the point, and the diagram is excellent.</w:t>
      </w:r>
      <w:r w:rsidR="007F3E62" w:rsidRPr="00B11A4A">
        <w:rPr>
          <w:rFonts w:cs="OpenSans-Italic"/>
          <w:bCs/>
          <w:iCs/>
          <w:color w:val="333333"/>
          <w:sz w:val="24"/>
          <w:szCs w:val="24"/>
        </w:rPr>
        <w:t xml:space="preserve"> </w:t>
      </w:r>
      <w:r w:rsidR="007F3E62" w:rsidRPr="00B11A4A">
        <w:rPr>
          <w:sz w:val="24"/>
          <w:szCs w:val="24"/>
        </w:rPr>
        <w:t xml:space="preserve">The </w:t>
      </w:r>
      <w:r w:rsidR="007F3E62" w:rsidRPr="00B11A4A">
        <w:rPr>
          <w:sz w:val="24"/>
          <w:szCs w:val="24"/>
        </w:rPr>
        <w:t xml:space="preserve">Introduction </w:t>
      </w:r>
      <w:r w:rsidR="007F3E62" w:rsidRPr="00B11A4A">
        <w:rPr>
          <w:sz w:val="24"/>
          <w:szCs w:val="24"/>
        </w:rPr>
        <w:t xml:space="preserve">section on Reflection is </w:t>
      </w:r>
      <w:r w:rsidR="005801CA" w:rsidRPr="00B11A4A">
        <w:rPr>
          <w:sz w:val="24"/>
          <w:szCs w:val="24"/>
        </w:rPr>
        <w:t xml:space="preserve">also </w:t>
      </w:r>
      <w:r w:rsidR="007F3E62" w:rsidRPr="00B11A4A">
        <w:rPr>
          <w:sz w:val="24"/>
          <w:szCs w:val="24"/>
        </w:rPr>
        <w:t>well-wri</w:t>
      </w:r>
      <w:r w:rsidR="007F3E62" w:rsidRPr="00B11A4A">
        <w:rPr>
          <w:sz w:val="24"/>
          <w:szCs w:val="24"/>
        </w:rPr>
        <w:t>tten and interesting.</w:t>
      </w:r>
    </w:p>
    <w:p w14:paraId="000CAEBB" w14:textId="77777777" w:rsidR="0008368A" w:rsidRPr="00B11A4A" w:rsidRDefault="0008368A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OpenSans-Regular"/>
          <w:bCs/>
          <w:color w:val="333333"/>
          <w:sz w:val="24"/>
          <w:szCs w:val="24"/>
        </w:rPr>
      </w:pPr>
    </w:p>
    <w:p w14:paraId="445F52F5" w14:textId="2FEE42EF" w:rsidR="00EA7D13" w:rsidRPr="00B11A4A" w:rsidRDefault="00EA7D13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However, </w:t>
      </w:r>
      <w:r w:rsidR="005801CA" w:rsidRPr="00B11A4A">
        <w:rPr>
          <w:rFonts w:cs="OpenSans-Italic"/>
          <w:bCs/>
          <w:iCs/>
          <w:color w:val="333333"/>
          <w:sz w:val="24"/>
          <w:szCs w:val="24"/>
        </w:rPr>
        <w:t>t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he article requires substantive reworking to </w:t>
      </w:r>
      <w:r w:rsidR="00F1322E" w:rsidRPr="00B11A4A">
        <w:rPr>
          <w:rFonts w:cs="OpenSans-Italic"/>
          <w:bCs/>
          <w:iCs/>
          <w:color w:val="333333"/>
          <w:sz w:val="24"/>
          <w:szCs w:val="24"/>
        </w:rPr>
        <w:t>address conceptual ambiguity</w:t>
      </w:r>
      <w:r w:rsidR="00FA21F8">
        <w:rPr>
          <w:rFonts w:cs="OpenSans-Italic"/>
          <w:bCs/>
          <w:iCs/>
          <w:color w:val="333333"/>
          <w:sz w:val="24"/>
          <w:szCs w:val="24"/>
        </w:rPr>
        <w:t xml:space="preserve"> in the Introduction and Method, and overall to improve the structure of the argument</w:t>
      </w:r>
      <w:r w:rsidR="00F1322E" w:rsidRPr="00B11A4A">
        <w:rPr>
          <w:rFonts w:cs="OpenSans-Italic"/>
          <w:bCs/>
          <w:iCs/>
          <w:color w:val="333333"/>
          <w:sz w:val="24"/>
          <w:szCs w:val="24"/>
        </w:rPr>
        <w:t xml:space="preserve">. 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In the Introduction, the authors </w:t>
      </w:r>
      <w:r w:rsidRPr="00B11A4A">
        <w:rPr>
          <w:sz w:val="24"/>
          <w:szCs w:val="24"/>
        </w:rPr>
        <w:t>seem</w:t>
      </w:r>
      <w:r w:rsidRPr="00B11A4A">
        <w:rPr>
          <w:sz w:val="24"/>
          <w:szCs w:val="24"/>
        </w:rPr>
        <w:t xml:space="preserve"> to suggest that development of social accountability is dependent on a particular type of curriculum</w:t>
      </w:r>
      <w:r w:rsidRPr="00B11A4A">
        <w:rPr>
          <w:sz w:val="24"/>
          <w:szCs w:val="24"/>
        </w:rPr>
        <w:t xml:space="preserve">. This assumption seems supported by the bulk of the Introduction taken up by </w:t>
      </w:r>
      <w:r w:rsidR="00F1322E" w:rsidRPr="00B11A4A">
        <w:rPr>
          <w:sz w:val="24"/>
          <w:szCs w:val="24"/>
        </w:rPr>
        <w:t>a rather dense and often vague discussion of</w:t>
      </w:r>
      <w:r w:rsidRPr="00B11A4A">
        <w:rPr>
          <w:sz w:val="24"/>
          <w:szCs w:val="24"/>
        </w:rPr>
        <w:t xml:space="preserve"> Doll’s components of a ‘post-modern curriculum’. However, the</w:t>
      </w:r>
      <w:r w:rsidR="005D0AFA" w:rsidRPr="00B11A4A">
        <w:rPr>
          <w:sz w:val="24"/>
          <w:szCs w:val="24"/>
        </w:rPr>
        <w:t xml:space="preserve"> argument does not present</w:t>
      </w:r>
      <w:r w:rsidR="00F1322E" w:rsidRPr="00B11A4A">
        <w:rPr>
          <w:sz w:val="24"/>
          <w:szCs w:val="24"/>
        </w:rPr>
        <w:t xml:space="preserve"> </w:t>
      </w:r>
      <w:r w:rsidRPr="00B11A4A">
        <w:rPr>
          <w:sz w:val="24"/>
          <w:szCs w:val="24"/>
        </w:rPr>
        <w:t xml:space="preserve">evidence </w:t>
      </w:r>
      <w:r w:rsidR="00F1322E" w:rsidRPr="00B11A4A">
        <w:rPr>
          <w:sz w:val="24"/>
          <w:szCs w:val="24"/>
        </w:rPr>
        <w:t xml:space="preserve">from the literature </w:t>
      </w:r>
      <w:r w:rsidRPr="00B11A4A">
        <w:rPr>
          <w:sz w:val="24"/>
          <w:szCs w:val="24"/>
        </w:rPr>
        <w:t xml:space="preserve">for </w:t>
      </w:r>
      <w:r w:rsidR="00F1322E" w:rsidRPr="00B11A4A">
        <w:rPr>
          <w:sz w:val="24"/>
          <w:szCs w:val="24"/>
        </w:rPr>
        <w:t xml:space="preserve">an explicit or causal </w:t>
      </w:r>
      <w:r w:rsidRPr="00B11A4A">
        <w:rPr>
          <w:sz w:val="24"/>
          <w:szCs w:val="24"/>
        </w:rPr>
        <w:t xml:space="preserve">link between social accountability and a particular type of </w:t>
      </w:r>
      <w:r w:rsidR="00F1322E" w:rsidRPr="00B11A4A">
        <w:rPr>
          <w:sz w:val="24"/>
          <w:szCs w:val="24"/>
        </w:rPr>
        <w:t>curriculum</w:t>
      </w:r>
      <w:r w:rsidRPr="00B11A4A">
        <w:rPr>
          <w:sz w:val="24"/>
          <w:szCs w:val="24"/>
        </w:rPr>
        <w:t>.</w:t>
      </w:r>
      <w:r w:rsidR="00F1322E" w:rsidRPr="00B11A4A">
        <w:rPr>
          <w:sz w:val="24"/>
          <w:szCs w:val="24"/>
        </w:rPr>
        <w:t xml:space="preserve">  </w:t>
      </w:r>
      <w:r w:rsidR="005D0AFA" w:rsidRPr="00B11A4A">
        <w:rPr>
          <w:sz w:val="24"/>
          <w:szCs w:val="24"/>
        </w:rPr>
        <w:t xml:space="preserve">The reviewer is left wondering whether other research has been done in this area, and whether the authors considered the contribution of non-curricular </w:t>
      </w:r>
      <w:r w:rsidRPr="00B11A4A">
        <w:rPr>
          <w:sz w:val="24"/>
          <w:szCs w:val="24"/>
        </w:rPr>
        <w:t>variables s</w:t>
      </w:r>
      <w:r w:rsidR="005D0AFA" w:rsidRPr="00B11A4A">
        <w:rPr>
          <w:sz w:val="24"/>
          <w:szCs w:val="24"/>
        </w:rPr>
        <w:t>uch as background and</w:t>
      </w:r>
      <w:r w:rsidRPr="00B11A4A">
        <w:rPr>
          <w:sz w:val="24"/>
          <w:szCs w:val="24"/>
        </w:rPr>
        <w:t xml:space="preserve"> </w:t>
      </w:r>
      <w:r w:rsidR="00F1322E" w:rsidRPr="00B11A4A">
        <w:rPr>
          <w:sz w:val="24"/>
          <w:szCs w:val="24"/>
        </w:rPr>
        <w:t xml:space="preserve">social </w:t>
      </w:r>
      <w:r w:rsidR="005D0AFA" w:rsidRPr="00B11A4A">
        <w:rPr>
          <w:sz w:val="24"/>
          <w:szCs w:val="24"/>
        </w:rPr>
        <w:t xml:space="preserve">context to a professional’s sense of social accountability. </w:t>
      </w:r>
      <w:r w:rsidRPr="00B11A4A">
        <w:rPr>
          <w:sz w:val="24"/>
          <w:szCs w:val="24"/>
        </w:rPr>
        <w:t xml:space="preserve"> </w:t>
      </w:r>
      <w:r w:rsidR="005D0AFA" w:rsidRPr="00B11A4A">
        <w:rPr>
          <w:sz w:val="24"/>
          <w:szCs w:val="24"/>
        </w:rPr>
        <w:t>Without this</w:t>
      </w:r>
      <w:r w:rsidR="00F1322E" w:rsidRPr="00B11A4A">
        <w:rPr>
          <w:sz w:val="24"/>
          <w:szCs w:val="24"/>
        </w:rPr>
        <w:t xml:space="preserve"> clear </w:t>
      </w:r>
      <w:r w:rsidR="005D0AFA" w:rsidRPr="00B11A4A">
        <w:rPr>
          <w:sz w:val="24"/>
          <w:szCs w:val="24"/>
        </w:rPr>
        <w:t xml:space="preserve">foundational argument, the </w:t>
      </w:r>
      <w:r w:rsidRPr="00B11A4A">
        <w:rPr>
          <w:sz w:val="24"/>
          <w:szCs w:val="24"/>
        </w:rPr>
        <w:t xml:space="preserve">reader </w:t>
      </w:r>
      <w:r w:rsidR="005D0AFA" w:rsidRPr="00B11A4A">
        <w:rPr>
          <w:sz w:val="24"/>
          <w:szCs w:val="24"/>
        </w:rPr>
        <w:t>is left to wonder</w:t>
      </w:r>
      <w:r w:rsidRPr="00B11A4A">
        <w:rPr>
          <w:sz w:val="24"/>
          <w:szCs w:val="24"/>
        </w:rPr>
        <w:t xml:space="preserve"> where this is leading and the Introduction </w:t>
      </w:r>
      <w:r w:rsidR="005D0AFA" w:rsidRPr="00B11A4A">
        <w:rPr>
          <w:sz w:val="24"/>
          <w:szCs w:val="24"/>
        </w:rPr>
        <w:t>seems unnecessary</w:t>
      </w:r>
      <w:r w:rsidRPr="00B11A4A">
        <w:rPr>
          <w:sz w:val="24"/>
          <w:szCs w:val="24"/>
        </w:rPr>
        <w:t xml:space="preserve"> long and unfocused.</w:t>
      </w:r>
      <w:r w:rsidR="005D0AFA" w:rsidRPr="00B11A4A">
        <w:rPr>
          <w:sz w:val="24"/>
          <w:szCs w:val="24"/>
        </w:rPr>
        <w:t xml:space="preserve"> </w:t>
      </w:r>
      <w:r w:rsidR="005D0AFA" w:rsidRPr="00B11A4A">
        <w:rPr>
          <w:sz w:val="24"/>
          <w:szCs w:val="24"/>
        </w:rPr>
        <w:t xml:space="preserve">Providing evidence of this link in literature is also particularly relevant as the researcher’s data collection includes demographic data of non-curricular activities such as community work and sports, but it is not explained or accounted for the methodology or the findings. </w:t>
      </w:r>
    </w:p>
    <w:p w14:paraId="0197EE11" w14:textId="77777777" w:rsidR="0008368A" w:rsidRPr="00B11A4A" w:rsidRDefault="0008368A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OpenSans-Regular"/>
          <w:color w:val="333333"/>
          <w:sz w:val="24"/>
          <w:szCs w:val="24"/>
        </w:rPr>
      </w:pPr>
    </w:p>
    <w:p w14:paraId="17FE47E4" w14:textId="2727AC51" w:rsidR="005D0AFA" w:rsidRPr="00B11A4A" w:rsidRDefault="005801CA" w:rsidP="0008368A">
      <w:pPr>
        <w:pStyle w:val="CommentText"/>
        <w:rPr>
          <w:sz w:val="24"/>
          <w:szCs w:val="24"/>
        </w:rPr>
      </w:pPr>
      <w:r w:rsidRPr="00B11A4A">
        <w:rPr>
          <w:rFonts w:cs="OpenSans-Italic"/>
          <w:bCs/>
          <w:iCs/>
          <w:color w:val="333333"/>
          <w:sz w:val="24"/>
          <w:szCs w:val="24"/>
        </w:rPr>
        <w:t>In addition to</w:t>
      </w:r>
      <w:r w:rsidR="0008368A" w:rsidRPr="00B11A4A">
        <w:rPr>
          <w:rFonts w:cs="OpenSans-Italic"/>
          <w:bCs/>
          <w:iCs/>
          <w:color w:val="333333"/>
          <w:sz w:val="24"/>
          <w:szCs w:val="24"/>
        </w:rPr>
        <w:t xml:space="preserve"> addressing this conceptual gap</w:t>
      </w:r>
      <w:r w:rsidRPr="00B11A4A">
        <w:rPr>
          <w:rFonts w:cs="OpenSans-Italic"/>
          <w:bCs/>
          <w:iCs/>
          <w:color w:val="333333"/>
          <w:sz w:val="24"/>
          <w:szCs w:val="24"/>
        </w:rPr>
        <w:t>,</w:t>
      </w:r>
      <w:r w:rsidR="0008368A" w:rsidRPr="00B11A4A">
        <w:rPr>
          <w:rFonts w:cs="OpenSans-Italic"/>
          <w:bCs/>
          <w:iCs/>
          <w:color w:val="333333"/>
          <w:sz w:val="24"/>
          <w:szCs w:val="24"/>
        </w:rPr>
        <w:t xml:space="preserve"> the article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 would benefit overall from a tighter structure</w:t>
      </w:r>
      <w:r w:rsidR="0008368A" w:rsidRPr="00B11A4A">
        <w:rPr>
          <w:rFonts w:cs="OpenSans-Italic"/>
          <w:bCs/>
          <w:iCs/>
          <w:color w:val="333333"/>
          <w:sz w:val="24"/>
          <w:szCs w:val="24"/>
        </w:rPr>
        <w:t xml:space="preserve"> or ‘architecture’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, </w:t>
      </w:r>
      <w:r w:rsidRPr="00B11A4A">
        <w:rPr>
          <w:rFonts w:cs="OpenSans-Italic"/>
          <w:bCs/>
          <w:iCs/>
          <w:color w:val="333333"/>
          <w:sz w:val="24"/>
          <w:szCs w:val="24"/>
        </w:rPr>
        <w:t>present</w:t>
      </w:r>
      <w:r w:rsidRPr="00B11A4A">
        <w:rPr>
          <w:rFonts w:cs="OpenSans-Italic"/>
          <w:bCs/>
          <w:iCs/>
          <w:color w:val="333333"/>
          <w:sz w:val="24"/>
          <w:szCs w:val="24"/>
        </w:rPr>
        <w:t>ing</w:t>
      </w:r>
      <w:r w:rsidRPr="00B11A4A">
        <w:rPr>
          <w:rFonts w:cs="OpenSans-Italic"/>
          <w:bCs/>
          <w:iCs/>
          <w:color w:val="333333"/>
          <w:sz w:val="24"/>
          <w:szCs w:val="24"/>
        </w:rPr>
        <w:t xml:space="preserve"> </w:t>
      </w:r>
      <w:r w:rsidRPr="00B11A4A">
        <w:rPr>
          <w:rFonts w:cs="OpenSans-Italic"/>
          <w:iCs/>
          <w:color w:val="333333"/>
          <w:sz w:val="24"/>
          <w:szCs w:val="24"/>
        </w:rPr>
        <w:t>a stronger, clearer, and more compe</w:t>
      </w:r>
      <w:r w:rsidR="0008368A" w:rsidRPr="00B11A4A">
        <w:rPr>
          <w:rFonts w:cs="OpenSans-Italic"/>
          <w:iCs/>
          <w:color w:val="333333"/>
          <w:sz w:val="24"/>
          <w:szCs w:val="24"/>
        </w:rPr>
        <w:t>lling argument</w:t>
      </w:r>
      <w:r w:rsidRPr="00B11A4A">
        <w:rPr>
          <w:rFonts w:cs="OpenSans-Italic"/>
          <w:iCs/>
          <w:color w:val="333333"/>
          <w:sz w:val="24"/>
          <w:szCs w:val="24"/>
        </w:rPr>
        <w:t>.</w:t>
      </w:r>
      <w:r w:rsidR="0008368A" w:rsidRPr="00B11A4A">
        <w:rPr>
          <w:rFonts w:cs="OpenSans-Regular"/>
          <w:color w:val="333333"/>
          <w:sz w:val="24"/>
          <w:szCs w:val="24"/>
        </w:rPr>
        <w:t xml:space="preserve"> For example, </w:t>
      </w:r>
      <w:r w:rsidR="0008368A" w:rsidRPr="00B11A4A">
        <w:rPr>
          <w:sz w:val="24"/>
          <w:szCs w:val="24"/>
        </w:rPr>
        <w:t>in</w:t>
      </w:r>
      <w:r w:rsidR="005D0AFA" w:rsidRPr="00B11A4A">
        <w:rPr>
          <w:sz w:val="24"/>
          <w:szCs w:val="24"/>
        </w:rPr>
        <w:t xml:space="preserve"> the Introduction,</w:t>
      </w:r>
      <w:r w:rsidR="005D0AFA" w:rsidRPr="00B11A4A">
        <w:rPr>
          <w:sz w:val="24"/>
          <w:szCs w:val="24"/>
        </w:rPr>
        <w:t xml:space="preserve"> a more thorough definition of social accountability from the literature</w:t>
      </w:r>
      <w:r w:rsidR="005D0AFA" w:rsidRPr="00B11A4A">
        <w:rPr>
          <w:sz w:val="24"/>
          <w:szCs w:val="24"/>
        </w:rPr>
        <w:t xml:space="preserve"> is needed</w:t>
      </w:r>
      <w:r w:rsidR="005D0AFA" w:rsidRPr="00B11A4A">
        <w:rPr>
          <w:sz w:val="24"/>
          <w:szCs w:val="24"/>
        </w:rPr>
        <w:t xml:space="preserve">, especially since the students in the </w:t>
      </w:r>
      <w:r w:rsidR="005D0AFA" w:rsidRPr="00B11A4A">
        <w:rPr>
          <w:sz w:val="24"/>
          <w:szCs w:val="24"/>
        </w:rPr>
        <w:t>focus groups</w:t>
      </w:r>
      <w:r w:rsidR="005D0AFA" w:rsidRPr="00B11A4A">
        <w:rPr>
          <w:sz w:val="24"/>
          <w:szCs w:val="24"/>
        </w:rPr>
        <w:t xml:space="preserve"> were presented with 2 definitions (see Methodology) of which only one is mentioned briefly </w:t>
      </w:r>
      <w:r w:rsidR="005D0AFA" w:rsidRPr="00B11A4A">
        <w:rPr>
          <w:sz w:val="24"/>
          <w:szCs w:val="24"/>
        </w:rPr>
        <w:t xml:space="preserve">in the Introduction. </w:t>
      </w:r>
      <w:r w:rsidR="0008368A" w:rsidRPr="00B11A4A">
        <w:rPr>
          <w:sz w:val="24"/>
          <w:szCs w:val="24"/>
        </w:rPr>
        <w:t>Round 1 and 2 emergent themes should both be listed (presented in a table or bullet points for easy reference). Other suggestions are put forward below in the discussion on the Methods section. Conceptually, t</w:t>
      </w:r>
      <w:r w:rsidR="005D0AFA" w:rsidRPr="00B11A4A">
        <w:rPr>
          <w:sz w:val="24"/>
          <w:szCs w:val="24"/>
        </w:rPr>
        <w:t xml:space="preserve">he </w:t>
      </w:r>
      <w:r w:rsidR="007F3E62" w:rsidRPr="00B11A4A">
        <w:rPr>
          <w:sz w:val="24"/>
          <w:szCs w:val="24"/>
        </w:rPr>
        <w:t xml:space="preserve">overlaps, connections and relationship </w:t>
      </w:r>
      <w:r w:rsidR="005D0AFA" w:rsidRPr="00B11A4A">
        <w:rPr>
          <w:sz w:val="24"/>
          <w:szCs w:val="24"/>
        </w:rPr>
        <w:t xml:space="preserve">between the 3 </w:t>
      </w:r>
      <w:proofErr w:type="spellStart"/>
      <w:r w:rsidR="005D0AFA" w:rsidRPr="00B11A4A">
        <w:rPr>
          <w:sz w:val="24"/>
          <w:szCs w:val="24"/>
        </w:rPr>
        <w:t>Rs</w:t>
      </w:r>
      <w:proofErr w:type="spellEnd"/>
      <w:r w:rsidR="005D0AFA" w:rsidRPr="00B11A4A">
        <w:rPr>
          <w:sz w:val="24"/>
          <w:szCs w:val="24"/>
        </w:rPr>
        <w:t xml:space="preserve"> in the abstract</w:t>
      </w:r>
      <w:r w:rsidR="007F3E62" w:rsidRPr="00B11A4A">
        <w:rPr>
          <w:sz w:val="24"/>
          <w:szCs w:val="24"/>
        </w:rPr>
        <w:t xml:space="preserve"> (recursion, relationship and rigor), the 4 </w:t>
      </w:r>
      <w:proofErr w:type="spellStart"/>
      <w:r w:rsidR="007F3E62" w:rsidRPr="00B11A4A">
        <w:rPr>
          <w:sz w:val="24"/>
          <w:szCs w:val="24"/>
        </w:rPr>
        <w:t>Rs</w:t>
      </w:r>
      <w:proofErr w:type="spellEnd"/>
      <w:r w:rsidR="007F3E62" w:rsidRPr="00B11A4A">
        <w:rPr>
          <w:sz w:val="24"/>
          <w:szCs w:val="24"/>
        </w:rPr>
        <w:t xml:space="preserve"> in the Introduction </w:t>
      </w:r>
      <w:r w:rsidR="0008368A" w:rsidRPr="00B11A4A">
        <w:rPr>
          <w:sz w:val="24"/>
          <w:szCs w:val="24"/>
        </w:rPr>
        <w:t>(where ‘richness’ was added</w:t>
      </w:r>
      <w:r w:rsidR="007F3E62" w:rsidRPr="00B11A4A">
        <w:rPr>
          <w:sz w:val="24"/>
          <w:szCs w:val="24"/>
        </w:rPr>
        <w:t xml:space="preserve">) and the 3 curricular axes are somewhat confusing.   </w:t>
      </w:r>
      <w:r w:rsidR="005D0AFA" w:rsidRPr="00B11A4A">
        <w:rPr>
          <w:sz w:val="24"/>
          <w:szCs w:val="24"/>
        </w:rPr>
        <w:t xml:space="preserve"> </w:t>
      </w:r>
    </w:p>
    <w:p w14:paraId="1118A2DD" w14:textId="77777777" w:rsidR="005D0AFA" w:rsidRPr="00B11A4A" w:rsidRDefault="005D0AFA" w:rsidP="000836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cs="OpenSans-Regular"/>
          <w:color w:val="333333"/>
          <w:sz w:val="24"/>
          <w:szCs w:val="24"/>
        </w:rPr>
      </w:pPr>
    </w:p>
    <w:p w14:paraId="71FAD828" w14:textId="09FC1A5B" w:rsidR="00CD1A71" w:rsidRDefault="00EA7D13" w:rsidP="00E532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11A4A">
        <w:rPr>
          <w:rFonts w:cs="OpenSans-Italic"/>
          <w:iCs/>
          <w:color w:val="333333"/>
          <w:sz w:val="24"/>
          <w:szCs w:val="24"/>
        </w:rPr>
        <w:t xml:space="preserve">There are a few </w:t>
      </w:r>
      <w:r w:rsidR="007F3E62" w:rsidRPr="00B11A4A">
        <w:rPr>
          <w:rFonts w:cs="OpenSans-Italic"/>
          <w:iCs/>
          <w:color w:val="333333"/>
          <w:sz w:val="24"/>
          <w:szCs w:val="24"/>
        </w:rPr>
        <w:t>words/phrases/</w:t>
      </w:r>
      <w:r w:rsidRPr="00B11A4A">
        <w:rPr>
          <w:rFonts w:cs="OpenSans-Italic"/>
          <w:iCs/>
          <w:color w:val="333333"/>
          <w:sz w:val="24"/>
          <w:szCs w:val="24"/>
        </w:rPr>
        <w:t xml:space="preserve">sentences </w:t>
      </w:r>
      <w:r w:rsidR="0008368A" w:rsidRPr="00B11A4A">
        <w:rPr>
          <w:rFonts w:cs="OpenSans-Italic"/>
          <w:iCs/>
          <w:color w:val="333333"/>
          <w:sz w:val="24"/>
          <w:szCs w:val="24"/>
        </w:rPr>
        <w:t xml:space="preserve">in the Introduction </w:t>
      </w:r>
      <w:r w:rsidRPr="00B11A4A">
        <w:rPr>
          <w:rFonts w:cs="OpenSans-Italic"/>
          <w:iCs/>
          <w:color w:val="333333"/>
          <w:sz w:val="24"/>
          <w:szCs w:val="24"/>
        </w:rPr>
        <w:t>tha</w:t>
      </w:r>
      <w:r w:rsidR="007F3E62" w:rsidRPr="00B11A4A">
        <w:rPr>
          <w:rFonts w:cs="OpenSans-Italic"/>
          <w:iCs/>
          <w:color w:val="333333"/>
          <w:sz w:val="24"/>
          <w:szCs w:val="24"/>
        </w:rPr>
        <w:t>t require rephrasing for clarity. These include</w:t>
      </w:r>
      <w:r w:rsidR="007F3E62" w:rsidRPr="00B11A4A">
        <w:rPr>
          <w:sz w:val="24"/>
          <w:szCs w:val="24"/>
        </w:rPr>
        <w:t xml:space="preserve"> </w:t>
      </w:r>
      <w:r w:rsidR="007F3E62" w:rsidRPr="00B11A4A">
        <w:rPr>
          <w:sz w:val="24"/>
          <w:szCs w:val="24"/>
        </w:rPr>
        <w:t xml:space="preserve">‘provocatively generative’, </w:t>
      </w:r>
      <w:r w:rsidR="007F3E62" w:rsidRPr="00B11A4A">
        <w:rPr>
          <w:sz w:val="24"/>
          <w:szCs w:val="24"/>
        </w:rPr>
        <w:t>‘</w:t>
      </w:r>
      <w:r w:rsidR="007F3E62" w:rsidRPr="00B11A4A">
        <w:rPr>
          <w:sz w:val="24"/>
          <w:szCs w:val="24"/>
        </w:rPr>
        <w:t>recursion</w:t>
      </w:r>
      <w:r w:rsidR="007F3E62" w:rsidRPr="00B11A4A">
        <w:rPr>
          <w:sz w:val="24"/>
          <w:szCs w:val="24"/>
        </w:rPr>
        <w:t>’</w:t>
      </w:r>
      <w:r w:rsidR="007F3E62" w:rsidRPr="00B11A4A">
        <w:rPr>
          <w:sz w:val="24"/>
          <w:szCs w:val="24"/>
        </w:rPr>
        <w:t xml:space="preserve"> and the authors’ emphasis on c</w:t>
      </w:r>
      <w:r w:rsidR="007F3E62" w:rsidRPr="00B11A4A">
        <w:rPr>
          <w:sz w:val="24"/>
          <w:szCs w:val="24"/>
        </w:rPr>
        <w:t>ognitive load in the</w:t>
      </w:r>
      <w:r w:rsidR="007F3E62" w:rsidRPr="00B11A4A">
        <w:rPr>
          <w:sz w:val="24"/>
          <w:szCs w:val="24"/>
        </w:rPr>
        <w:t xml:space="preserve"> context</w:t>
      </w:r>
      <w:r w:rsidR="007F3E62" w:rsidRPr="00B11A4A">
        <w:rPr>
          <w:sz w:val="24"/>
          <w:szCs w:val="24"/>
        </w:rPr>
        <w:t xml:space="preserve"> of this discussion, as well as </w:t>
      </w:r>
      <w:r w:rsidR="007F3E62" w:rsidRPr="00B11A4A">
        <w:rPr>
          <w:sz w:val="24"/>
          <w:szCs w:val="24"/>
        </w:rPr>
        <w:t xml:space="preserve">statement “interactions between communities and medical </w:t>
      </w:r>
      <w:proofErr w:type="spellStart"/>
      <w:r w:rsidR="007F3E62" w:rsidRPr="00B11A4A">
        <w:rPr>
          <w:sz w:val="24"/>
          <w:szCs w:val="24"/>
        </w:rPr>
        <w:t>programmes</w:t>
      </w:r>
      <w:proofErr w:type="spellEnd"/>
      <w:r w:rsidR="007F3E62" w:rsidRPr="00B11A4A">
        <w:rPr>
          <w:sz w:val="24"/>
          <w:szCs w:val="24"/>
        </w:rPr>
        <w:t xml:space="preserve"> are heterogeneous in their nature, their intention and their outcomes</w:t>
      </w:r>
      <w:r w:rsidR="0008368A" w:rsidRPr="00B11A4A">
        <w:rPr>
          <w:sz w:val="24"/>
          <w:szCs w:val="24"/>
        </w:rPr>
        <w:t>”</w:t>
      </w:r>
      <w:r w:rsidR="007F3E62" w:rsidRPr="00B11A4A">
        <w:rPr>
          <w:sz w:val="24"/>
          <w:szCs w:val="24"/>
        </w:rPr>
        <w:t xml:space="preserve">. </w:t>
      </w:r>
    </w:p>
    <w:p w14:paraId="278BB92D" w14:textId="77777777" w:rsidR="00E53212" w:rsidRPr="00E53212" w:rsidRDefault="00E53212" w:rsidP="00E532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OpenSans-Regular"/>
          <w:color w:val="333333"/>
          <w:sz w:val="24"/>
          <w:szCs w:val="24"/>
        </w:rPr>
      </w:pPr>
    </w:p>
    <w:p w14:paraId="546A9307" w14:textId="77FB8B02" w:rsidR="00CD5061" w:rsidRPr="00B11A4A" w:rsidRDefault="0008368A" w:rsidP="00CD5061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>The M</w:t>
      </w:r>
      <w:r w:rsidR="00825E54" w:rsidRPr="00B11A4A">
        <w:rPr>
          <w:sz w:val="24"/>
          <w:szCs w:val="24"/>
        </w:rPr>
        <w:t xml:space="preserve">ethod section </w:t>
      </w:r>
      <w:r w:rsidRPr="00B11A4A">
        <w:rPr>
          <w:sz w:val="24"/>
          <w:szCs w:val="24"/>
        </w:rPr>
        <w:t>may be confusing</w:t>
      </w:r>
      <w:r w:rsidR="00CD5061" w:rsidRPr="00B11A4A">
        <w:rPr>
          <w:sz w:val="24"/>
          <w:szCs w:val="24"/>
        </w:rPr>
        <w:t xml:space="preserve"> </w:t>
      </w:r>
      <w:r w:rsidRPr="00B11A4A">
        <w:rPr>
          <w:sz w:val="24"/>
          <w:szCs w:val="24"/>
        </w:rPr>
        <w:t xml:space="preserve">primarily </w:t>
      </w:r>
      <w:r w:rsidR="00CD5061" w:rsidRPr="00B11A4A">
        <w:rPr>
          <w:sz w:val="24"/>
          <w:szCs w:val="24"/>
        </w:rPr>
        <w:t>because it is not systematically presented</w:t>
      </w:r>
      <w:r w:rsidRPr="00B11A4A">
        <w:rPr>
          <w:sz w:val="24"/>
          <w:szCs w:val="24"/>
        </w:rPr>
        <w:t>, although some conceptual clarification is required regarding the sampling</w:t>
      </w:r>
      <w:r w:rsidR="00CD5061" w:rsidRPr="00B11A4A">
        <w:rPr>
          <w:sz w:val="24"/>
          <w:szCs w:val="24"/>
        </w:rPr>
        <w:t>. It seems that 2 rounds of focus groups were held, with the first round enabling more detailed exploration of the emergent themes from round 1. However, it is not clear what the eme</w:t>
      </w:r>
      <w:r w:rsidR="00825E54" w:rsidRPr="00B11A4A">
        <w:rPr>
          <w:sz w:val="24"/>
          <w:szCs w:val="24"/>
        </w:rPr>
        <w:t xml:space="preserve">rgent themes </w:t>
      </w:r>
      <w:r w:rsidR="00825E54" w:rsidRPr="00B11A4A">
        <w:rPr>
          <w:sz w:val="24"/>
          <w:szCs w:val="24"/>
        </w:rPr>
        <w:lastRenderedPageBreak/>
        <w:t xml:space="preserve">were from round 1, apart from </w:t>
      </w:r>
      <w:r w:rsidR="00CD5061" w:rsidRPr="00B11A4A">
        <w:rPr>
          <w:sz w:val="24"/>
          <w:szCs w:val="24"/>
        </w:rPr>
        <w:t>men</w:t>
      </w:r>
      <w:r w:rsidR="00825E54" w:rsidRPr="00B11A4A">
        <w:rPr>
          <w:sz w:val="24"/>
          <w:szCs w:val="24"/>
        </w:rPr>
        <w:t>tioning</w:t>
      </w:r>
      <w:r w:rsidR="00CD5061" w:rsidRPr="00B11A4A">
        <w:rPr>
          <w:sz w:val="24"/>
          <w:szCs w:val="24"/>
        </w:rPr>
        <w:t xml:space="preserve"> ‘a clinical experience and identification of ‘</w:t>
      </w:r>
      <w:r w:rsidR="00825E54" w:rsidRPr="00B11A4A">
        <w:rPr>
          <w:sz w:val="24"/>
          <w:szCs w:val="24"/>
        </w:rPr>
        <w:t>target groups’</w:t>
      </w:r>
      <w:r w:rsidR="00CD5061" w:rsidRPr="00B11A4A">
        <w:rPr>
          <w:sz w:val="24"/>
          <w:szCs w:val="24"/>
        </w:rPr>
        <w:t xml:space="preserve">. In round 2, no explanation is given of how and on what basis the ‘target groups’ were then constituted and how the emergent themes from round 1 informed these decisions. </w:t>
      </w:r>
      <w:r w:rsidRPr="00B11A4A">
        <w:rPr>
          <w:sz w:val="24"/>
          <w:szCs w:val="24"/>
        </w:rPr>
        <w:t>These students</w:t>
      </w:r>
      <w:r w:rsidR="00CD5061" w:rsidRPr="00B11A4A">
        <w:rPr>
          <w:sz w:val="24"/>
          <w:szCs w:val="24"/>
        </w:rPr>
        <w:t xml:space="preserve"> are later on referred to as </w:t>
      </w:r>
      <w:r w:rsidRPr="00B11A4A">
        <w:rPr>
          <w:sz w:val="24"/>
          <w:szCs w:val="24"/>
        </w:rPr>
        <w:t>“</w:t>
      </w:r>
      <w:r w:rsidR="00CD5061" w:rsidRPr="00B11A4A">
        <w:rPr>
          <w:sz w:val="24"/>
          <w:szCs w:val="24"/>
        </w:rPr>
        <w:t>less socially responsive</w:t>
      </w:r>
      <w:r w:rsidRPr="00B11A4A">
        <w:rPr>
          <w:sz w:val="24"/>
          <w:szCs w:val="24"/>
        </w:rPr>
        <w:t>”</w:t>
      </w:r>
      <w:r w:rsidR="00CD5061" w:rsidRPr="00B11A4A">
        <w:rPr>
          <w:sz w:val="24"/>
          <w:szCs w:val="24"/>
        </w:rPr>
        <w:t xml:space="preserve">- </w:t>
      </w:r>
      <w:r w:rsidR="00825E54" w:rsidRPr="00B11A4A">
        <w:rPr>
          <w:sz w:val="24"/>
          <w:szCs w:val="24"/>
        </w:rPr>
        <w:t xml:space="preserve">this statement is evaluative and requires a thorough explanation of the sampling </w:t>
      </w:r>
      <w:r w:rsidR="00421D93" w:rsidRPr="00B11A4A">
        <w:rPr>
          <w:sz w:val="24"/>
          <w:szCs w:val="24"/>
        </w:rPr>
        <w:t xml:space="preserve">criteria </w:t>
      </w:r>
      <w:r w:rsidR="00825E54" w:rsidRPr="00B11A4A">
        <w:rPr>
          <w:sz w:val="24"/>
          <w:szCs w:val="24"/>
        </w:rPr>
        <w:t>and data collection methods</w:t>
      </w:r>
      <w:r w:rsidR="00421D93" w:rsidRPr="00B11A4A">
        <w:rPr>
          <w:sz w:val="24"/>
          <w:szCs w:val="24"/>
        </w:rPr>
        <w:t>.</w:t>
      </w:r>
    </w:p>
    <w:p w14:paraId="17974BBD" w14:textId="6161F4B5" w:rsidR="00CD5061" w:rsidRPr="00B11A4A" w:rsidRDefault="00825E54" w:rsidP="00CD5061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>To improve the flow of the methods section,</w:t>
      </w:r>
      <w:r w:rsidR="00CD5061" w:rsidRPr="00B11A4A">
        <w:rPr>
          <w:sz w:val="24"/>
          <w:szCs w:val="24"/>
        </w:rPr>
        <w:t xml:space="preserve"> the ‘general’ methodological concerns </w:t>
      </w:r>
      <w:r w:rsidRPr="00B11A4A">
        <w:rPr>
          <w:sz w:val="24"/>
          <w:szCs w:val="24"/>
        </w:rPr>
        <w:t xml:space="preserve">can be discussed </w:t>
      </w:r>
      <w:r w:rsidR="00CD5061" w:rsidRPr="00B11A4A">
        <w:rPr>
          <w:sz w:val="24"/>
          <w:szCs w:val="24"/>
        </w:rPr>
        <w:t xml:space="preserve">first (assuming that </w:t>
      </w:r>
      <w:r w:rsidRPr="00B11A4A">
        <w:rPr>
          <w:sz w:val="24"/>
          <w:szCs w:val="24"/>
        </w:rPr>
        <w:t>these aspects were done the same in round 1 and 2</w:t>
      </w:r>
      <w:r w:rsidR="00CD5061" w:rsidRPr="00B11A4A">
        <w:rPr>
          <w:sz w:val="24"/>
          <w:szCs w:val="24"/>
        </w:rPr>
        <w:t>)</w:t>
      </w:r>
      <w:r w:rsidRPr="00B11A4A">
        <w:rPr>
          <w:sz w:val="24"/>
          <w:szCs w:val="24"/>
        </w:rPr>
        <w:t>,</w:t>
      </w:r>
      <w:r w:rsidR="00CD5061" w:rsidRPr="00B11A4A">
        <w:rPr>
          <w:sz w:val="24"/>
          <w:szCs w:val="24"/>
        </w:rPr>
        <w:t xml:space="preserve"> for example, </w:t>
      </w:r>
      <w:r w:rsidRPr="00B11A4A">
        <w:rPr>
          <w:sz w:val="24"/>
          <w:szCs w:val="24"/>
        </w:rPr>
        <w:t xml:space="preserve">regarding </w:t>
      </w:r>
      <w:r w:rsidR="00CD5061" w:rsidRPr="00B11A4A">
        <w:rPr>
          <w:sz w:val="24"/>
          <w:szCs w:val="24"/>
        </w:rPr>
        <w:t>ethics, focus groups</w:t>
      </w:r>
      <w:r w:rsidRPr="00B11A4A">
        <w:rPr>
          <w:sz w:val="24"/>
          <w:szCs w:val="24"/>
        </w:rPr>
        <w:t xml:space="preserve"> as method</w:t>
      </w:r>
      <w:r w:rsidR="00CD5061" w:rsidRPr="00B11A4A">
        <w:rPr>
          <w:sz w:val="24"/>
          <w:szCs w:val="24"/>
        </w:rPr>
        <w:t xml:space="preserve">, audio-recorded, transcribed, anonymity measures, method of analysis </w:t>
      </w:r>
      <w:r w:rsidR="00E53212">
        <w:rPr>
          <w:sz w:val="24"/>
          <w:szCs w:val="24"/>
        </w:rPr>
        <w:t>(</w:t>
      </w:r>
      <w:r w:rsidR="00CD5061" w:rsidRPr="00B11A4A">
        <w:rPr>
          <w:sz w:val="24"/>
          <w:szCs w:val="24"/>
        </w:rPr>
        <w:t>grounded theory and constant comparative</w:t>
      </w:r>
      <w:r w:rsidR="00E53212">
        <w:rPr>
          <w:sz w:val="24"/>
          <w:szCs w:val="24"/>
        </w:rPr>
        <w:t>)</w:t>
      </w:r>
      <w:r w:rsidR="00CD5061" w:rsidRPr="00B11A4A">
        <w:rPr>
          <w:sz w:val="24"/>
          <w:szCs w:val="24"/>
        </w:rPr>
        <w:t>, incl</w:t>
      </w:r>
      <w:r w:rsidR="0008368A" w:rsidRPr="00B11A4A">
        <w:rPr>
          <w:sz w:val="24"/>
          <w:szCs w:val="24"/>
        </w:rPr>
        <w:t>uding the</w:t>
      </w:r>
      <w:r w:rsidR="00CD5061" w:rsidRPr="00B11A4A">
        <w:rPr>
          <w:sz w:val="24"/>
          <w:szCs w:val="24"/>
        </w:rPr>
        <w:t xml:space="preserve"> last paragraph before table 1. </w:t>
      </w:r>
    </w:p>
    <w:p w14:paraId="22413D1F" w14:textId="1267FA2A" w:rsidR="00CD5061" w:rsidRPr="00B11A4A" w:rsidRDefault="00825E54" w:rsidP="00BE3DE3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 xml:space="preserve">Thereafter, the authors should explain upfront that </w:t>
      </w:r>
      <w:r w:rsidR="00CD5061" w:rsidRPr="00B11A4A">
        <w:rPr>
          <w:sz w:val="24"/>
          <w:szCs w:val="24"/>
        </w:rPr>
        <w:t>2 rounds of focus groups were done</w:t>
      </w:r>
      <w:r w:rsidRPr="00B11A4A">
        <w:rPr>
          <w:sz w:val="24"/>
          <w:szCs w:val="24"/>
        </w:rPr>
        <w:t xml:space="preserve"> one year apart, explaining</w:t>
      </w:r>
      <w:r w:rsidR="00CD5061" w:rsidRPr="00B11A4A">
        <w:rPr>
          <w:sz w:val="24"/>
          <w:szCs w:val="24"/>
        </w:rPr>
        <w:t xml:space="preserve"> what each round hoped to achieve, and how </w:t>
      </w:r>
      <w:r w:rsidRPr="00B11A4A">
        <w:rPr>
          <w:sz w:val="24"/>
          <w:szCs w:val="24"/>
        </w:rPr>
        <w:t>they differed in the authors’</w:t>
      </w:r>
      <w:r w:rsidR="00CD5061" w:rsidRPr="00B11A4A">
        <w:rPr>
          <w:sz w:val="24"/>
          <w:szCs w:val="24"/>
        </w:rPr>
        <w:t xml:space="preserve"> approach to data co</w:t>
      </w:r>
      <w:r w:rsidR="00B11A4A" w:rsidRPr="00B11A4A">
        <w:rPr>
          <w:sz w:val="24"/>
          <w:szCs w:val="24"/>
        </w:rPr>
        <w:t>llection and analysis</w:t>
      </w:r>
      <w:r w:rsidR="00CD5061" w:rsidRPr="00B11A4A">
        <w:rPr>
          <w:sz w:val="24"/>
          <w:szCs w:val="24"/>
        </w:rPr>
        <w:t xml:space="preserve">. </w:t>
      </w:r>
      <w:r w:rsidRPr="00B11A4A">
        <w:rPr>
          <w:sz w:val="24"/>
          <w:szCs w:val="24"/>
        </w:rPr>
        <w:t>Especially important is to explain that while</w:t>
      </w:r>
      <w:r w:rsidR="00CD5061" w:rsidRPr="00B11A4A">
        <w:rPr>
          <w:sz w:val="24"/>
          <w:szCs w:val="24"/>
        </w:rPr>
        <w:t xml:space="preserve"> </w:t>
      </w:r>
      <w:r w:rsidRPr="00B11A4A">
        <w:rPr>
          <w:sz w:val="24"/>
          <w:szCs w:val="24"/>
        </w:rPr>
        <w:t>round 1 involved random volunteers, round 2 was purposeful. How</w:t>
      </w:r>
      <w:r w:rsidR="00CD5061" w:rsidRPr="00B11A4A">
        <w:rPr>
          <w:sz w:val="24"/>
          <w:szCs w:val="24"/>
        </w:rPr>
        <w:t xml:space="preserve"> were the ‘representatives’ </w:t>
      </w:r>
      <w:r w:rsidR="00B11A4A" w:rsidRPr="00B11A4A">
        <w:rPr>
          <w:sz w:val="24"/>
          <w:szCs w:val="24"/>
        </w:rPr>
        <w:t xml:space="preserve">of groups </w:t>
      </w:r>
      <w:r w:rsidR="00CD5061" w:rsidRPr="00B11A4A">
        <w:rPr>
          <w:sz w:val="24"/>
          <w:szCs w:val="24"/>
        </w:rPr>
        <w:t>selected, and on what basis did they recruit others?</w:t>
      </w:r>
      <w:r w:rsidR="00B11A4A" w:rsidRPr="00B11A4A">
        <w:rPr>
          <w:sz w:val="24"/>
          <w:szCs w:val="24"/>
        </w:rPr>
        <w:t xml:space="preserve"> </w:t>
      </w:r>
      <w:r w:rsidR="00CD5061" w:rsidRPr="00B11A4A">
        <w:rPr>
          <w:sz w:val="24"/>
          <w:szCs w:val="24"/>
        </w:rPr>
        <w:t>Apart from completing a clinical experience, what else did and didn’t they have in common</w:t>
      </w:r>
      <w:r w:rsidR="00BE3DE3" w:rsidRPr="00B11A4A">
        <w:rPr>
          <w:sz w:val="24"/>
          <w:szCs w:val="24"/>
        </w:rPr>
        <w:t xml:space="preserve"> with other participants</w:t>
      </w:r>
      <w:r w:rsidR="00CD5061" w:rsidRPr="00B11A4A">
        <w:rPr>
          <w:sz w:val="24"/>
          <w:szCs w:val="24"/>
        </w:rPr>
        <w:t xml:space="preserve">? </w:t>
      </w:r>
      <w:r w:rsidR="00BE3DE3" w:rsidRPr="00B11A4A">
        <w:rPr>
          <w:sz w:val="24"/>
          <w:szCs w:val="24"/>
        </w:rPr>
        <w:t xml:space="preserve">What questions were asked of group 2, since Table 1 only mentions </w:t>
      </w:r>
      <w:proofErr w:type="gramStart"/>
      <w:r w:rsidR="00BE3DE3" w:rsidRPr="00B11A4A">
        <w:rPr>
          <w:sz w:val="24"/>
          <w:szCs w:val="24"/>
        </w:rPr>
        <w:t>round</w:t>
      </w:r>
      <w:proofErr w:type="gramEnd"/>
      <w:r w:rsidR="00BE3DE3" w:rsidRPr="00B11A4A">
        <w:rPr>
          <w:sz w:val="24"/>
          <w:szCs w:val="24"/>
        </w:rPr>
        <w:t xml:space="preserve"> 1 questions? The emergent themes from round 1 must be listed more explicitly, even though they </w:t>
      </w:r>
      <w:r w:rsidR="00B11A4A" w:rsidRPr="00B11A4A">
        <w:rPr>
          <w:sz w:val="24"/>
          <w:szCs w:val="24"/>
        </w:rPr>
        <w:t xml:space="preserve">understandably </w:t>
      </w:r>
      <w:r w:rsidR="00BE3DE3" w:rsidRPr="00B11A4A">
        <w:rPr>
          <w:sz w:val="24"/>
          <w:szCs w:val="24"/>
        </w:rPr>
        <w:t xml:space="preserve">needed more </w:t>
      </w:r>
      <w:r w:rsidR="00B11A4A" w:rsidRPr="00B11A4A">
        <w:rPr>
          <w:sz w:val="24"/>
          <w:szCs w:val="24"/>
        </w:rPr>
        <w:t xml:space="preserve">exploration and </w:t>
      </w:r>
      <w:r w:rsidR="00BE3DE3" w:rsidRPr="00B11A4A">
        <w:rPr>
          <w:sz w:val="24"/>
          <w:szCs w:val="24"/>
        </w:rPr>
        <w:t xml:space="preserve">clarification in round 2, </w:t>
      </w:r>
      <w:r w:rsidR="00B11A4A" w:rsidRPr="00B11A4A">
        <w:rPr>
          <w:sz w:val="24"/>
          <w:szCs w:val="24"/>
        </w:rPr>
        <w:t>since these first themes</w:t>
      </w:r>
      <w:r w:rsidR="00BE3DE3" w:rsidRPr="00B11A4A">
        <w:rPr>
          <w:sz w:val="24"/>
          <w:szCs w:val="24"/>
        </w:rPr>
        <w:t xml:space="preserve"> informed the rest of the study design</w:t>
      </w:r>
      <w:r w:rsidR="00B11A4A" w:rsidRPr="00B11A4A">
        <w:rPr>
          <w:sz w:val="24"/>
          <w:szCs w:val="24"/>
        </w:rPr>
        <w:t xml:space="preserve"> and round 2 interviews</w:t>
      </w:r>
      <w:r w:rsidR="00BE3DE3" w:rsidRPr="00B11A4A">
        <w:rPr>
          <w:sz w:val="24"/>
          <w:szCs w:val="24"/>
        </w:rPr>
        <w:t>. Why was demographic data collected</w:t>
      </w:r>
      <w:r w:rsidR="00B11A4A" w:rsidRPr="00B11A4A">
        <w:rPr>
          <w:sz w:val="24"/>
          <w:szCs w:val="24"/>
        </w:rPr>
        <w:t xml:space="preserve"> at all</w:t>
      </w:r>
      <w:r w:rsidR="00BE3DE3" w:rsidRPr="00B11A4A">
        <w:rPr>
          <w:sz w:val="24"/>
          <w:szCs w:val="24"/>
        </w:rPr>
        <w:t>? It is very problematic that community service and sports are mentioned in the findings without any contex</w:t>
      </w:r>
      <w:r w:rsidR="00B11A4A" w:rsidRPr="00B11A4A">
        <w:rPr>
          <w:sz w:val="24"/>
          <w:szCs w:val="24"/>
        </w:rPr>
        <w:t>t</w:t>
      </w:r>
      <w:r w:rsidR="00BE3DE3" w:rsidRPr="00B11A4A">
        <w:rPr>
          <w:sz w:val="24"/>
          <w:szCs w:val="24"/>
        </w:rPr>
        <w:t xml:space="preserve"> </w:t>
      </w:r>
      <w:r w:rsidR="00B11A4A" w:rsidRPr="00B11A4A">
        <w:rPr>
          <w:sz w:val="24"/>
          <w:szCs w:val="24"/>
        </w:rPr>
        <w:t xml:space="preserve">or explanation of the relevance of this information </w:t>
      </w:r>
      <w:r w:rsidR="00BE3DE3" w:rsidRPr="00B11A4A">
        <w:rPr>
          <w:sz w:val="24"/>
          <w:szCs w:val="24"/>
        </w:rPr>
        <w:t>provided (see earlier critique on assumed link between social accountability and curriculum).</w:t>
      </w:r>
    </w:p>
    <w:p w14:paraId="3BD28F3A" w14:textId="39F4DC93" w:rsidR="00C12DA8" w:rsidRPr="00B11A4A" w:rsidRDefault="00C12DA8" w:rsidP="00C12DA8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 xml:space="preserve">Results: </w:t>
      </w:r>
      <w:r w:rsidRPr="00B11A4A">
        <w:rPr>
          <w:sz w:val="24"/>
          <w:szCs w:val="24"/>
        </w:rPr>
        <w:t xml:space="preserve">Firstly, </w:t>
      </w:r>
      <w:r w:rsidR="00BE3DE3" w:rsidRPr="00B11A4A">
        <w:rPr>
          <w:sz w:val="24"/>
          <w:szCs w:val="24"/>
        </w:rPr>
        <w:t>the emergent themes from round one must be briefly presented with examples</w:t>
      </w:r>
      <w:r w:rsidR="00421D93" w:rsidRPr="00B11A4A">
        <w:rPr>
          <w:sz w:val="24"/>
          <w:szCs w:val="24"/>
        </w:rPr>
        <w:t xml:space="preserve"> (instead of the rather vague ‘the spirit of...’)</w:t>
      </w:r>
      <w:r w:rsidR="00BE3DE3" w:rsidRPr="00B11A4A">
        <w:rPr>
          <w:sz w:val="24"/>
          <w:szCs w:val="24"/>
        </w:rPr>
        <w:t xml:space="preserve">, before the round 2 themes are listed. It is not clear why all the percentages </w:t>
      </w:r>
      <w:r w:rsidR="00B11A4A" w:rsidRPr="00B11A4A">
        <w:rPr>
          <w:sz w:val="24"/>
          <w:szCs w:val="24"/>
        </w:rPr>
        <w:t xml:space="preserve">of each class </w:t>
      </w:r>
      <w:r w:rsidR="00BE3DE3" w:rsidRPr="00B11A4A">
        <w:rPr>
          <w:sz w:val="24"/>
          <w:szCs w:val="24"/>
        </w:rPr>
        <w:t>are provided; are they statistically relevant, and what conclusions c</w:t>
      </w:r>
      <w:r w:rsidR="00421D93" w:rsidRPr="00B11A4A">
        <w:rPr>
          <w:sz w:val="24"/>
          <w:szCs w:val="24"/>
        </w:rPr>
        <w:t>an</w:t>
      </w:r>
      <w:r w:rsidR="00BE3DE3" w:rsidRPr="00B11A4A">
        <w:rPr>
          <w:sz w:val="24"/>
          <w:szCs w:val="24"/>
        </w:rPr>
        <w:t xml:space="preserve"> be dr</w:t>
      </w:r>
      <w:r w:rsidR="00421D93" w:rsidRPr="00B11A4A">
        <w:rPr>
          <w:sz w:val="24"/>
          <w:szCs w:val="24"/>
        </w:rPr>
        <w:t>awn from them, if any?</w:t>
      </w:r>
    </w:p>
    <w:p w14:paraId="17CD6A0E" w14:textId="1F15AF50" w:rsidR="00421D93" w:rsidRPr="00B11A4A" w:rsidRDefault="00421D93" w:rsidP="00421D93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 xml:space="preserve">Themes are </w:t>
      </w:r>
      <w:r w:rsidRPr="00B11A4A">
        <w:rPr>
          <w:sz w:val="24"/>
          <w:szCs w:val="24"/>
        </w:rPr>
        <w:t xml:space="preserve">extrapolations from the data and </w:t>
      </w:r>
      <w:r w:rsidRPr="00B11A4A">
        <w:rPr>
          <w:sz w:val="24"/>
          <w:szCs w:val="24"/>
        </w:rPr>
        <w:t>usually listed in the author’s words as a short phrase</w:t>
      </w:r>
      <w:r w:rsidRPr="00B11A4A">
        <w:rPr>
          <w:sz w:val="24"/>
          <w:szCs w:val="24"/>
        </w:rPr>
        <w:t xml:space="preserve"> which rises above the </w:t>
      </w:r>
      <w:r w:rsidRPr="00B11A4A">
        <w:rPr>
          <w:sz w:val="24"/>
          <w:szCs w:val="24"/>
        </w:rPr>
        <w:t>level</w:t>
      </w:r>
      <w:r w:rsidRPr="00B11A4A">
        <w:rPr>
          <w:sz w:val="24"/>
          <w:szCs w:val="24"/>
        </w:rPr>
        <w:t xml:space="preserve"> of empirical data</w:t>
      </w:r>
      <w:r w:rsidRPr="00B11A4A">
        <w:rPr>
          <w:sz w:val="24"/>
          <w:szCs w:val="24"/>
        </w:rPr>
        <w:t>. Presenting the themes as student quotes can work but the author</w:t>
      </w:r>
      <w:r w:rsidR="003778D3" w:rsidRPr="00B11A4A">
        <w:rPr>
          <w:sz w:val="24"/>
          <w:szCs w:val="24"/>
        </w:rPr>
        <w:t>s</w:t>
      </w:r>
      <w:r w:rsidRPr="00B11A4A">
        <w:rPr>
          <w:sz w:val="24"/>
          <w:szCs w:val="24"/>
        </w:rPr>
        <w:t xml:space="preserve"> must be careful not to use the students’</w:t>
      </w:r>
      <w:r w:rsidR="003778D3" w:rsidRPr="00B11A4A">
        <w:rPr>
          <w:sz w:val="24"/>
          <w:szCs w:val="24"/>
        </w:rPr>
        <w:t xml:space="preserve"> own words as</w:t>
      </w:r>
      <w:r w:rsidRPr="00B11A4A">
        <w:rPr>
          <w:sz w:val="24"/>
          <w:szCs w:val="24"/>
        </w:rPr>
        <w:t xml:space="preserve"> </w:t>
      </w:r>
      <w:r w:rsidR="003778D3" w:rsidRPr="00B11A4A">
        <w:rPr>
          <w:sz w:val="24"/>
          <w:szCs w:val="24"/>
        </w:rPr>
        <w:t xml:space="preserve">the </w:t>
      </w:r>
      <w:r w:rsidRPr="00B11A4A">
        <w:rPr>
          <w:sz w:val="24"/>
          <w:szCs w:val="24"/>
        </w:rPr>
        <w:t>argument</w:t>
      </w:r>
      <w:r w:rsidR="00B11A4A" w:rsidRPr="00B11A4A">
        <w:rPr>
          <w:sz w:val="24"/>
          <w:szCs w:val="24"/>
        </w:rPr>
        <w:t>, rather than drawing on these quotes</w:t>
      </w:r>
      <w:r w:rsidR="003778D3" w:rsidRPr="00B11A4A">
        <w:rPr>
          <w:sz w:val="24"/>
          <w:szCs w:val="24"/>
        </w:rPr>
        <w:t xml:space="preserve"> as examples or evidence of particular participant views. This is problematic in the </w:t>
      </w:r>
      <w:r w:rsidR="00B11A4A" w:rsidRPr="00B11A4A">
        <w:rPr>
          <w:sz w:val="24"/>
          <w:szCs w:val="24"/>
        </w:rPr>
        <w:t xml:space="preserve">both the </w:t>
      </w:r>
      <w:r w:rsidR="003778D3" w:rsidRPr="00B11A4A">
        <w:rPr>
          <w:sz w:val="24"/>
          <w:szCs w:val="24"/>
        </w:rPr>
        <w:t xml:space="preserve">Results and Discussions sections. </w:t>
      </w:r>
    </w:p>
    <w:p w14:paraId="209AB36C" w14:textId="5A1195EA" w:rsidR="00C12DA8" w:rsidRPr="00B11A4A" w:rsidRDefault="00421D93" w:rsidP="00C12DA8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 xml:space="preserve">The </w:t>
      </w:r>
      <w:r w:rsidR="00B11A4A" w:rsidRPr="00B11A4A">
        <w:rPr>
          <w:sz w:val="24"/>
          <w:szCs w:val="24"/>
        </w:rPr>
        <w:t xml:space="preserve">Results lead-in </w:t>
      </w:r>
      <w:r w:rsidRPr="00B11A4A">
        <w:rPr>
          <w:sz w:val="24"/>
          <w:szCs w:val="24"/>
        </w:rPr>
        <w:t xml:space="preserve">statement </w:t>
      </w:r>
      <w:r w:rsidR="00C12DA8" w:rsidRPr="00B11A4A">
        <w:rPr>
          <w:rFonts w:eastAsiaTheme="minorEastAsia" w:cs="Arial"/>
          <w:sz w:val="24"/>
          <w:szCs w:val="24"/>
          <w:lang w:eastAsia="en-ZA"/>
        </w:rPr>
        <w:t xml:space="preserve">“The interviews with the student participants of the class of 2013 deepened the understanding </w:t>
      </w:r>
      <w:r w:rsidR="00C12DA8" w:rsidRPr="00B11A4A">
        <w:rPr>
          <w:rStyle w:val="CommentReference"/>
          <w:sz w:val="24"/>
          <w:szCs w:val="24"/>
        </w:rPr>
        <w:t/>
      </w:r>
      <w:r w:rsidR="00C12DA8" w:rsidRPr="00B11A4A">
        <w:rPr>
          <w:rFonts w:eastAsiaTheme="minorEastAsia" w:cs="Arial"/>
          <w:sz w:val="24"/>
          <w:szCs w:val="24"/>
          <w:lang w:eastAsia="en-ZA"/>
        </w:rPr>
        <w:t xml:space="preserve">of social accountability but...” </w:t>
      </w:r>
      <w:r w:rsidRPr="00B11A4A">
        <w:rPr>
          <w:rFonts w:eastAsiaTheme="minorEastAsia" w:cs="Arial"/>
          <w:sz w:val="24"/>
          <w:szCs w:val="24"/>
          <w:lang w:eastAsia="en-ZA"/>
        </w:rPr>
        <w:t>requires clarification; as a few sentences further the authors list the first theme as ‘poorly defined’ picture of the concept of social accountability. The statement “</w:t>
      </w:r>
      <w:r w:rsidR="006822B5" w:rsidRPr="00B11A4A">
        <w:rPr>
          <w:rFonts w:eastAsiaTheme="minorEastAsia" w:cs="Arial"/>
          <w:sz w:val="24"/>
          <w:szCs w:val="24"/>
          <w:lang w:eastAsia="en-ZA"/>
        </w:rPr>
        <w:t>deeply reflective identities which appeared to reduce the cynicism prevalent in this health system</w:t>
      </w:r>
      <w:r w:rsidR="006822B5" w:rsidRPr="00B11A4A">
        <w:rPr>
          <w:rStyle w:val="CommentReference"/>
          <w:sz w:val="24"/>
          <w:szCs w:val="24"/>
        </w:rPr>
        <w:t/>
      </w:r>
      <w:r w:rsidR="006822B5" w:rsidRPr="00B11A4A">
        <w:rPr>
          <w:rFonts w:eastAsiaTheme="minorEastAsia" w:cs="Arial"/>
          <w:sz w:val="24"/>
          <w:szCs w:val="24"/>
          <w:lang w:eastAsia="en-ZA"/>
        </w:rPr>
        <w:t xml:space="preserve">...” </w:t>
      </w:r>
      <w:r w:rsidR="00B11A4A" w:rsidRPr="00B11A4A">
        <w:rPr>
          <w:rFonts w:eastAsiaTheme="minorEastAsia" w:cs="Arial"/>
          <w:sz w:val="24"/>
          <w:szCs w:val="24"/>
          <w:lang w:eastAsia="en-ZA"/>
        </w:rPr>
        <w:t>also requires explanation</w:t>
      </w:r>
      <w:r w:rsidRPr="00B11A4A">
        <w:rPr>
          <w:rFonts w:eastAsiaTheme="minorEastAsia" w:cs="Arial"/>
          <w:sz w:val="24"/>
          <w:szCs w:val="24"/>
          <w:lang w:eastAsia="en-ZA"/>
        </w:rPr>
        <w:t xml:space="preserve">. </w:t>
      </w:r>
    </w:p>
    <w:p w14:paraId="5C8FE103" w14:textId="4B10DA1C" w:rsidR="00CD5061" w:rsidRDefault="003778D3" w:rsidP="00B11A4A">
      <w:pPr>
        <w:pStyle w:val="CommentText"/>
        <w:rPr>
          <w:sz w:val="24"/>
          <w:szCs w:val="24"/>
        </w:rPr>
      </w:pPr>
      <w:r w:rsidRPr="00B11A4A">
        <w:rPr>
          <w:sz w:val="24"/>
          <w:szCs w:val="24"/>
        </w:rPr>
        <w:t>In the Discussion, thi</w:t>
      </w:r>
      <w:r w:rsidR="006822B5" w:rsidRPr="00B11A4A">
        <w:rPr>
          <w:sz w:val="24"/>
          <w:szCs w:val="24"/>
        </w:rPr>
        <w:t xml:space="preserve">s reviewer is not clear on how the data </w:t>
      </w:r>
      <w:r w:rsidR="00B11A4A" w:rsidRPr="00B11A4A">
        <w:rPr>
          <w:sz w:val="24"/>
          <w:szCs w:val="24"/>
        </w:rPr>
        <w:t xml:space="preserve">has </w:t>
      </w:r>
      <w:r w:rsidR="006822B5" w:rsidRPr="00B11A4A">
        <w:rPr>
          <w:sz w:val="24"/>
          <w:szCs w:val="24"/>
        </w:rPr>
        <w:t xml:space="preserve">led to the </w:t>
      </w:r>
      <w:r w:rsidRPr="00B11A4A">
        <w:rPr>
          <w:sz w:val="24"/>
          <w:szCs w:val="24"/>
        </w:rPr>
        <w:t>formation of the 3 ax</w:t>
      </w:r>
      <w:r w:rsidR="00B11A4A" w:rsidRPr="00B11A4A">
        <w:rPr>
          <w:sz w:val="24"/>
          <w:szCs w:val="24"/>
        </w:rPr>
        <w:t>es; an explanation detailing this</w:t>
      </w:r>
      <w:r w:rsidRPr="00B11A4A">
        <w:rPr>
          <w:sz w:val="24"/>
          <w:szCs w:val="24"/>
        </w:rPr>
        <w:t xml:space="preserve"> higher level of abstraction is needed</w:t>
      </w:r>
      <w:r w:rsidR="006822B5" w:rsidRPr="00B11A4A">
        <w:rPr>
          <w:sz w:val="24"/>
          <w:szCs w:val="24"/>
        </w:rPr>
        <w:t xml:space="preserve">. </w:t>
      </w:r>
      <w:r w:rsidRPr="00B11A4A">
        <w:rPr>
          <w:sz w:val="24"/>
          <w:szCs w:val="24"/>
        </w:rPr>
        <w:t xml:space="preserve">The discussion is also very brief compared to the Results section. Overall, </w:t>
      </w:r>
      <w:r w:rsidR="00F7553B">
        <w:rPr>
          <w:sz w:val="24"/>
          <w:szCs w:val="24"/>
        </w:rPr>
        <w:t xml:space="preserve">though, </w:t>
      </w:r>
      <w:r w:rsidRPr="00B11A4A">
        <w:rPr>
          <w:sz w:val="24"/>
          <w:szCs w:val="24"/>
        </w:rPr>
        <w:t>the paper would probably benefit from being shortened; it is currently 757</w:t>
      </w:r>
      <w:r w:rsidR="00B11A4A" w:rsidRPr="00B11A4A">
        <w:rPr>
          <w:sz w:val="24"/>
          <w:szCs w:val="24"/>
        </w:rPr>
        <w:t>3 words excluding the abstract.</w:t>
      </w:r>
    </w:p>
    <w:p w14:paraId="608C4FC4" w14:textId="4ED6682C" w:rsidR="00F7553B" w:rsidRPr="00B11A4A" w:rsidRDefault="00F7553B" w:rsidP="00B11A4A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Lastly, all research has limitations and authors should use the opportunity to offer their own critique of the study’s design and results. </w:t>
      </w:r>
    </w:p>
    <w:sectPr w:rsidR="00F7553B" w:rsidRPr="00B11A4A" w:rsidSect="00971F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OpenSan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D817D6"/>
    <w:multiLevelType w:val="multilevel"/>
    <w:tmpl w:val="9C46AB8A"/>
    <w:lvl w:ilvl="0">
      <w:start w:val="1"/>
      <w:numFmt w:val="none"/>
      <w:lvlText w:val="7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3B44D38"/>
    <w:multiLevelType w:val="multilevel"/>
    <w:tmpl w:val="8D628808"/>
    <w:lvl w:ilvl="0">
      <w:start w:val="1"/>
      <w:numFmt w:val="none"/>
      <w:lvlText w:val="6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5">
    <w:nsid w:val="0659378E"/>
    <w:multiLevelType w:val="multilevel"/>
    <w:tmpl w:val="3F82E0D6"/>
    <w:lvl w:ilvl="0">
      <w:start w:val="1"/>
      <w:numFmt w:val="none"/>
      <w:lvlText w:val="7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A9F2F83"/>
    <w:multiLevelType w:val="multilevel"/>
    <w:tmpl w:val="A3208B1E"/>
    <w:lvl w:ilvl="0">
      <w:start w:val="1"/>
      <w:numFmt w:val="none"/>
      <w:lvlText w:val="4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4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C6948F8"/>
    <w:multiLevelType w:val="multilevel"/>
    <w:tmpl w:val="9DBA82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E6E35C1"/>
    <w:multiLevelType w:val="multilevel"/>
    <w:tmpl w:val="B3DCACDC"/>
    <w:lvl w:ilvl="0">
      <w:start w:val="1"/>
      <w:numFmt w:val="none"/>
      <w:lvlText w:val="6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4F53C92"/>
    <w:multiLevelType w:val="multilevel"/>
    <w:tmpl w:val="47C851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8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6E44CF5"/>
    <w:multiLevelType w:val="multilevel"/>
    <w:tmpl w:val="69F2C5BA"/>
    <w:lvl w:ilvl="0">
      <w:start w:val="1"/>
      <w:numFmt w:val="none"/>
      <w:lvlText w:val="3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82A2694"/>
    <w:multiLevelType w:val="multilevel"/>
    <w:tmpl w:val="9704F980"/>
    <w:lvl w:ilvl="0">
      <w:start w:val="1"/>
      <w:numFmt w:val="none"/>
      <w:pStyle w:val="Heading1"/>
      <w:lvlText w:val="2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1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2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9910318"/>
    <w:multiLevelType w:val="multilevel"/>
    <w:tmpl w:val="D0C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ACA2FD7"/>
    <w:multiLevelType w:val="multilevel"/>
    <w:tmpl w:val="8B98D84C"/>
    <w:lvl w:ilvl="0">
      <w:start w:val="1"/>
      <w:numFmt w:val="none"/>
      <w:lvlText w:val="7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7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7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3EF21EA"/>
    <w:multiLevelType w:val="multilevel"/>
    <w:tmpl w:val="5604290A"/>
    <w:lvl w:ilvl="0">
      <w:start w:val="1"/>
      <w:numFmt w:val="none"/>
      <w:lvlText w:val="6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6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5">
    <w:nsid w:val="34B250D1"/>
    <w:multiLevelType w:val="multilevel"/>
    <w:tmpl w:val="DDCC60B2"/>
    <w:lvl w:ilvl="0">
      <w:start w:val="1"/>
      <w:numFmt w:val="none"/>
      <w:lvlText w:val="5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5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9B87AB0"/>
    <w:multiLevelType w:val="multilevel"/>
    <w:tmpl w:val="C63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20E5356"/>
    <w:multiLevelType w:val="multilevel"/>
    <w:tmpl w:val="15AA94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66559A"/>
    <w:multiLevelType w:val="multilevel"/>
    <w:tmpl w:val="ECA66516"/>
    <w:lvl w:ilvl="0">
      <w:start w:val="1"/>
      <w:numFmt w:val="none"/>
      <w:lvlText w:val="7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ED058B9"/>
    <w:multiLevelType w:val="multilevel"/>
    <w:tmpl w:val="7B70DAC0"/>
    <w:lvl w:ilvl="0">
      <w:start w:val="1"/>
      <w:numFmt w:val="none"/>
      <w:lvlText w:val="6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49A2EC2"/>
    <w:multiLevelType w:val="multilevel"/>
    <w:tmpl w:val="31F4A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8C355AC"/>
    <w:multiLevelType w:val="multilevel"/>
    <w:tmpl w:val="01766C9A"/>
    <w:lvl w:ilvl="0">
      <w:start w:val="1"/>
      <w:numFmt w:val="none"/>
      <w:lvlText w:val="4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4861A2F"/>
    <w:multiLevelType w:val="multilevel"/>
    <w:tmpl w:val="2AFED6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7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7BA5CB3"/>
    <w:multiLevelType w:val="multilevel"/>
    <w:tmpl w:val="0B86719A"/>
    <w:lvl w:ilvl="0">
      <w:start w:val="1"/>
      <w:numFmt w:val="none"/>
      <w:lvlText w:val="7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7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B7343AD"/>
    <w:multiLevelType w:val="multilevel"/>
    <w:tmpl w:val="4F5E37C6"/>
    <w:lvl w:ilvl="0">
      <w:start w:val="5"/>
      <w:numFmt w:val="decimal"/>
      <w:lvlText w:val="%1."/>
      <w:lvlJc w:val="left"/>
      <w:pPr>
        <w:ind w:left="86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00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1.%2.%3."/>
      <w:lvlJc w:val="left"/>
      <w:pPr>
        <w:ind w:left="1082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6" w:hanging="1440"/>
      </w:pPr>
      <w:rPr>
        <w:rFonts w:hint="default"/>
      </w:rPr>
    </w:lvl>
  </w:abstractNum>
  <w:num w:numId="1">
    <w:abstractNumId w:val="24"/>
  </w:num>
  <w:num w:numId="2">
    <w:abstractNumId w:val="24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24"/>
  </w:num>
  <w:num w:numId="8">
    <w:abstractNumId w:val="24"/>
  </w:num>
  <w:num w:numId="9">
    <w:abstractNumId w:val="21"/>
  </w:num>
  <w:num w:numId="10">
    <w:abstractNumId w:val="21"/>
  </w:num>
  <w:num w:numId="11">
    <w:abstractNumId w:val="21"/>
  </w:num>
  <w:num w:numId="12">
    <w:abstractNumId w:val="6"/>
  </w:num>
  <w:num w:numId="13">
    <w:abstractNumId w:val="6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4"/>
  </w:num>
  <w:num w:numId="19">
    <w:abstractNumId w:val="4"/>
  </w:num>
  <w:num w:numId="20">
    <w:abstractNumId w:val="4"/>
  </w:num>
  <w:num w:numId="21">
    <w:abstractNumId w:val="8"/>
  </w:num>
  <w:num w:numId="22">
    <w:abstractNumId w:val="20"/>
  </w:num>
  <w:num w:numId="23">
    <w:abstractNumId w:val="19"/>
  </w:num>
  <w:num w:numId="24">
    <w:abstractNumId w:val="19"/>
  </w:num>
  <w:num w:numId="25">
    <w:abstractNumId w:val="19"/>
  </w:num>
  <w:num w:numId="26">
    <w:abstractNumId w:val="5"/>
  </w:num>
  <w:num w:numId="27">
    <w:abstractNumId w:val="3"/>
  </w:num>
  <w:num w:numId="28">
    <w:abstractNumId w:val="18"/>
  </w:num>
  <w:num w:numId="29">
    <w:abstractNumId w:val="17"/>
  </w:num>
  <w:num w:numId="30">
    <w:abstractNumId w:val="17"/>
  </w:num>
  <w:num w:numId="31">
    <w:abstractNumId w:val="22"/>
  </w:num>
  <w:num w:numId="32">
    <w:abstractNumId w:val="23"/>
  </w:num>
  <w:num w:numId="33">
    <w:abstractNumId w:val="23"/>
  </w:num>
  <w:num w:numId="34">
    <w:abstractNumId w:val="13"/>
  </w:num>
  <w:num w:numId="35">
    <w:abstractNumId w:val="9"/>
  </w:num>
  <w:num w:numId="36">
    <w:abstractNumId w:val="9"/>
  </w:num>
  <w:num w:numId="37">
    <w:abstractNumId w:val="9"/>
  </w:num>
  <w:num w:numId="38">
    <w:abstractNumId w:val="16"/>
  </w:num>
  <w:num w:numId="39">
    <w:abstractNumId w:val="7"/>
  </w:num>
  <w:num w:numId="40">
    <w:abstractNumId w:val="7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0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1"/>
    <w:rsid w:val="0008368A"/>
    <w:rsid w:val="00254B8E"/>
    <w:rsid w:val="003778D3"/>
    <w:rsid w:val="00421D93"/>
    <w:rsid w:val="00443EE2"/>
    <w:rsid w:val="005801CA"/>
    <w:rsid w:val="005D0AFA"/>
    <w:rsid w:val="005D2B3C"/>
    <w:rsid w:val="006822B5"/>
    <w:rsid w:val="00763F3A"/>
    <w:rsid w:val="007C7CD7"/>
    <w:rsid w:val="007F3E62"/>
    <w:rsid w:val="00825E54"/>
    <w:rsid w:val="00831BB7"/>
    <w:rsid w:val="00971F7A"/>
    <w:rsid w:val="00B11A4A"/>
    <w:rsid w:val="00BE3AFC"/>
    <w:rsid w:val="00BE3DE3"/>
    <w:rsid w:val="00C12DA8"/>
    <w:rsid w:val="00C14B28"/>
    <w:rsid w:val="00CD1A71"/>
    <w:rsid w:val="00CD5061"/>
    <w:rsid w:val="00D5083B"/>
    <w:rsid w:val="00E53212"/>
    <w:rsid w:val="00EA7D13"/>
    <w:rsid w:val="00F03262"/>
    <w:rsid w:val="00F1322E"/>
    <w:rsid w:val="00F7553B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FAE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061"/>
    <w:rPr>
      <w:rFonts w:asciiTheme="minorHAnsi" w:hAnsiTheme="minorHAnsi" w:cstheme="minorBidi"/>
      <w:b w:val="0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03262"/>
    <w:pPr>
      <w:keepNext/>
      <w:numPr>
        <w:numId w:val="44"/>
      </w:numPr>
      <w:spacing w:after="0"/>
      <w:outlineLvl w:val="0"/>
    </w:pPr>
    <w:rPr>
      <w:rFonts w:eastAsia="Times New Roman"/>
      <w:b/>
      <w:bCs/>
      <w:sz w:val="28"/>
      <w:lang w:val="en-GB"/>
    </w:rPr>
  </w:style>
  <w:style w:type="paragraph" w:styleId="Heading2">
    <w:name w:val="heading 2"/>
    <w:link w:val="Heading2Char"/>
    <w:autoRedefine/>
    <w:uiPriority w:val="9"/>
    <w:unhideWhenUsed/>
    <w:qFormat/>
    <w:rsid w:val="00F03262"/>
    <w:pPr>
      <w:keepNext/>
      <w:keepLines/>
      <w:numPr>
        <w:ilvl w:val="1"/>
        <w:numId w:val="43"/>
      </w:numPr>
      <w:spacing w:before="100" w:beforeAutospacing="1" w:after="100" w:afterAutospacing="1" w:line="360" w:lineRule="auto"/>
      <w:outlineLvl w:val="1"/>
    </w:pPr>
    <w:rPr>
      <w:rFonts w:eastAsiaTheme="minorEastAsia"/>
      <w:b w:val="0"/>
      <w:color w:val="000000" w:themeColor="text1"/>
      <w:szCs w:val="24"/>
      <w:lang w:val="en-GB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03262"/>
    <w:pPr>
      <w:numPr>
        <w:ilvl w:val="2"/>
        <w:numId w:val="44"/>
      </w:numPr>
      <w:spacing w:after="0" w:afterAutospacing="0"/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03262"/>
    <w:pPr>
      <w:numPr>
        <w:ilvl w:val="3"/>
      </w:numPr>
      <w:spacing w:before="0" w:beforeAutospacing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1BB7"/>
    <w:rPr>
      <w:rFonts w:ascii="Times New Roman" w:eastAsia="Times New Roman" w:hAnsi="Times New Roman" w:cs="Times New Roman"/>
      <w:b w:val="0"/>
      <w:bCs w:val="0"/>
      <w:sz w:val="2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63F3A"/>
    <w:rPr>
      <w:b w:val="0"/>
      <w:bCs w:val="0"/>
    </w:rPr>
  </w:style>
  <w:style w:type="character" w:styleId="Emphasis">
    <w:name w:val="Emphasis"/>
    <w:basedOn w:val="DefaultParagraphFont"/>
    <w:uiPriority w:val="20"/>
    <w:qFormat/>
    <w:rsid w:val="00763F3A"/>
    <w:rPr>
      <w:i/>
      <w:iCs/>
    </w:rPr>
  </w:style>
  <w:style w:type="paragraph" w:styleId="ListParagraph">
    <w:name w:val="List Paragraph"/>
    <w:basedOn w:val="Normal"/>
    <w:uiPriority w:val="34"/>
    <w:qFormat/>
    <w:rsid w:val="00763F3A"/>
    <w:pPr>
      <w:ind w:left="720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F03262"/>
    <w:rPr>
      <w:rFonts w:ascii="Times New Roman" w:eastAsiaTheme="minorEastAsia" w:hAnsi="Times New Roman" w:cs="Times New Roman"/>
      <w:b w:val="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03262"/>
    <w:rPr>
      <w:rFonts w:ascii="Times New Roman" w:eastAsiaTheme="minorEastAsia" w:hAnsi="Times New Roman" w:cs="Times New Roman"/>
      <w:b w:val="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03262"/>
    <w:rPr>
      <w:rFonts w:eastAsiaTheme="minorEastAsia"/>
      <w:b w:val="0"/>
      <w:color w:val="000000" w:themeColor="text1"/>
      <w:szCs w:val="24"/>
      <w:lang w:val="en-GB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F03262"/>
    <w:pPr>
      <w:spacing w:after="0"/>
      <w:ind w:left="480" w:hanging="480"/>
    </w:pPr>
  </w:style>
  <w:style w:type="paragraph" w:styleId="CommentText">
    <w:name w:val="annotation text"/>
    <w:basedOn w:val="Normal"/>
    <w:link w:val="CommentTextChar"/>
    <w:uiPriority w:val="99"/>
    <w:unhideWhenUsed/>
    <w:rsid w:val="00CD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061"/>
    <w:rPr>
      <w:rFonts w:asciiTheme="minorHAnsi" w:hAnsiTheme="minorHAnsi" w:cstheme="minorBidi"/>
      <w:b w:val="0"/>
      <w:bCs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506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61"/>
    <w:rPr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Weiss</dc:creator>
  <cp:keywords/>
  <dc:description/>
  <cp:lastModifiedBy>Rachel Weiss</cp:lastModifiedBy>
  <cp:revision>2</cp:revision>
  <dcterms:created xsi:type="dcterms:W3CDTF">2018-01-14T23:01:00Z</dcterms:created>
  <dcterms:modified xsi:type="dcterms:W3CDTF">2018-01-14T23:01:00Z</dcterms:modified>
</cp:coreProperties>
</file>