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1BB4D3" w14:textId="4E771623" w:rsidR="00C446B9" w:rsidRPr="00146A4E" w:rsidRDefault="00B06E7C" w:rsidP="00C446B9">
      <w:pPr>
        <w:spacing w:after="0" w:line="240" w:lineRule="auto"/>
        <w:rPr>
          <w:rFonts w:cs="Times New Roman"/>
          <w:b/>
          <w:color w:val="7B7B7B" w:themeColor="accent3" w:themeShade="BF"/>
          <w:sz w:val="28"/>
          <w:szCs w:val="28"/>
          <w:lang w:val="en-US"/>
        </w:rPr>
      </w:pPr>
      <w:r w:rsidRPr="00146A4E">
        <w:rPr>
          <w:noProof/>
          <w:color w:val="7B7B7B" w:themeColor="accent3" w:themeShade="BF"/>
          <w:lang w:eastAsia="en-GB"/>
        </w:rPr>
        <mc:AlternateContent>
          <mc:Choice Requires="wps">
            <w:drawing>
              <wp:anchor distT="45720" distB="45720" distL="114300" distR="114300" simplePos="0" relativeHeight="251661312" behindDoc="0" locked="0" layoutInCell="1" allowOverlap="1" wp14:anchorId="60172584" wp14:editId="2ACC4926">
                <wp:simplePos x="0" y="0"/>
                <wp:positionH relativeFrom="column">
                  <wp:posOffset>-19050</wp:posOffset>
                </wp:positionH>
                <wp:positionV relativeFrom="page">
                  <wp:posOffset>2761615</wp:posOffset>
                </wp:positionV>
                <wp:extent cx="5719445" cy="1419225"/>
                <wp:effectExtent l="0" t="0" r="14605"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9445" cy="1419225"/>
                        </a:xfrm>
                        <a:prstGeom prst="rect">
                          <a:avLst/>
                        </a:prstGeom>
                        <a:solidFill>
                          <a:schemeClr val="bg1"/>
                        </a:solidFill>
                        <a:ln w="9525">
                          <a:solidFill>
                            <a:schemeClr val="accent4">
                              <a:lumMod val="75000"/>
                            </a:schemeClr>
                          </a:solidFill>
                          <a:miter lim="800000"/>
                          <a:headEnd/>
                          <a:tailEnd/>
                        </a:ln>
                      </wps:spPr>
                      <wps:txbx>
                        <w:txbxContent>
                          <w:p w14:paraId="481A973E" w14:textId="77777777" w:rsidR="002C5754" w:rsidRDefault="002C5754" w:rsidP="002C5754">
                            <w:pPr>
                              <w:spacing w:after="0" w:line="240" w:lineRule="auto"/>
                            </w:pPr>
                          </w:p>
                          <w:p w14:paraId="3F28EEF4" w14:textId="77777777" w:rsidR="007451DF" w:rsidRPr="00DF20EA" w:rsidRDefault="0087479E" w:rsidP="002C5754">
                            <w:pPr>
                              <w:spacing w:after="0" w:line="240" w:lineRule="auto"/>
                              <w:ind w:left="567" w:right="567"/>
                              <w:rPr>
                                <w:b/>
                                <w:color w:val="7B7B7B" w:themeColor="accent3" w:themeShade="BF"/>
                                <w:sz w:val="24"/>
                              </w:rPr>
                            </w:pPr>
                            <w:r w:rsidRPr="00DF20EA">
                              <w:rPr>
                                <w:b/>
                                <w:color w:val="7B7B7B" w:themeColor="accent3" w:themeShade="BF"/>
                                <w:sz w:val="24"/>
                              </w:rPr>
                              <w:t xml:space="preserve">Burke, PJ, Crozier, G and </w:t>
                            </w:r>
                            <w:proofErr w:type="spellStart"/>
                            <w:r w:rsidRPr="00DF20EA">
                              <w:rPr>
                                <w:b/>
                                <w:color w:val="7B7B7B" w:themeColor="accent3" w:themeShade="BF"/>
                                <w:sz w:val="24"/>
                              </w:rPr>
                              <w:t>Misiaszek</w:t>
                            </w:r>
                            <w:proofErr w:type="spellEnd"/>
                            <w:r w:rsidRPr="00DF20EA">
                              <w:rPr>
                                <w:b/>
                                <w:color w:val="7B7B7B" w:themeColor="accent3" w:themeShade="BF"/>
                                <w:sz w:val="24"/>
                              </w:rPr>
                              <w:t>, L</w:t>
                            </w:r>
                            <w:r w:rsidR="009A3D07" w:rsidRPr="00DF20EA">
                              <w:rPr>
                                <w:b/>
                                <w:color w:val="7B7B7B" w:themeColor="accent3" w:themeShade="BF"/>
                                <w:sz w:val="24"/>
                              </w:rPr>
                              <w:t xml:space="preserve">I. </w:t>
                            </w:r>
                            <w:r w:rsidRPr="00DF20EA">
                              <w:rPr>
                                <w:b/>
                                <w:color w:val="7B7B7B" w:themeColor="accent3" w:themeShade="BF"/>
                                <w:sz w:val="24"/>
                              </w:rPr>
                              <w:t xml:space="preserve">2017. </w:t>
                            </w:r>
                            <w:r w:rsidR="002C5754" w:rsidRPr="00DF20EA">
                              <w:rPr>
                                <w:b/>
                                <w:i/>
                                <w:color w:val="7B7B7B" w:themeColor="accent3" w:themeShade="BF"/>
                                <w:sz w:val="24"/>
                              </w:rPr>
                              <w:t>Changing Pedagogical Spaces in Higher Education: Diversity, Inequalities and Misrecognition</w:t>
                            </w:r>
                            <w:r w:rsidRPr="00DF20EA">
                              <w:rPr>
                                <w:b/>
                                <w:color w:val="7B7B7B" w:themeColor="accent3" w:themeShade="BF"/>
                                <w:sz w:val="24"/>
                              </w:rPr>
                              <w:t xml:space="preserve">. </w:t>
                            </w:r>
                            <w:r w:rsidR="002C5754" w:rsidRPr="00DF20EA">
                              <w:rPr>
                                <w:b/>
                                <w:color w:val="7B7B7B" w:themeColor="accent3" w:themeShade="BF"/>
                                <w:sz w:val="24"/>
                              </w:rPr>
                              <w:t xml:space="preserve">London: Routledge.  </w:t>
                            </w:r>
                          </w:p>
                          <w:p w14:paraId="2063E0C8" w14:textId="77777777" w:rsidR="000C53B0" w:rsidRPr="00DF20EA" w:rsidRDefault="000C53B0" w:rsidP="002C5754">
                            <w:pPr>
                              <w:spacing w:after="0" w:line="240" w:lineRule="auto"/>
                              <w:ind w:left="567" w:right="567"/>
                              <w:rPr>
                                <w:b/>
                                <w:color w:val="7B7B7B" w:themeColor="accent3" w:themeShade="BF"/>
                                <w:sz w:val="24"/>
                              </w:rPr>
                            </w:pPr>
                          </w:p>
                          <w:p w14:paraId="32B31FD7" w14:textId="1E9E7522" w:rsidR="000C53B0" w:rsidRPr="00DF20EA" w:rsidRDefault="000C53B0" w:rsidP="000C53B0">
                            <w:pPr>
                              <w:ind w:left="567"/>
                              <w:rPr>
                                <w:rFonts w:eastAsia="Times New Roman" w:cs="Arial"/>
                                <w:b/>
                                <w:color w:val="7B7B7B" w:themeColor="accent3" w:themeShade="BF"/>
                                <w:sz w:val="24"/>
                                <w:lang w:eastAsia="en-GB"/>
                              </w:rPr>
                            </w:pPr>
                            <w:r w:rsidRPr="00DF20EA">
                              <w:rPr>
                                <w:b/>
                                <w:color w:val="7B7B7B" w:themeColor="accent3" w:themeShade="BF"/>
                                <w:sz w:val="24"/>
                              </w:rPr>
                              <w:t xml:space="preserve">ISBN </w:t>
                            </w:r>
                            <w:r w:rsidR="00E678DD" w:rsidRPr="00DF20EA">
                              <w:rPr>
                                <w:rFonts w:ascii="Calibri" w:hAnsi="Calibri"/>
                                <w:b/>
                                <w:color w:val="7B7B7B" w:themeColor="accent3" w:themeShade="BF"/>
                                <w:sz w:val="24"/>
                                <w:shd w:val="clear" w:color="auto" w:fill="FFFFFF"/>
                              </w:rPr>
                              <w:t>9781138917224</w:t>
                            </w:r>
                            <w:r w:rsidRPr="00DF20EA">
                              <w:rPr>
                                <w:b/>
                                <w:color w:val="7B7B7B" w:themeColor="accent3" w:themeShade="BF"/>
                                <w:sz w:val="24"/>
                              </w:rPr>
                              <w:t xml:space="preserve">; </w:t>
                            </w:r>
                            <w:r w:rsidR="00E678DD" w:rsidRPr="00DF20EA">
                              <w:rPr>
                                <w:b/>
                                <w:color w:val="7B7B7B" w:themeColor="accent3" w:themeShade="BF"/>
                                <w:sz w:val="24"/>
                              </w:rPr>
                              <w:t>179</w:t>
                            </w:r>
                            <w:r w:rsidR="00DF20EA">
                              <w:rPr>
                                <w:b/>
                                <w:color w:val="7B7B7B" w:themeColor="accent3" w:themeShade="BF"/>
                                <w:sz w:val="24"/>
                              </w:rPr>
                              <w:t>pp.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172584" id="_x0000_t202" coordsize="21600,21600" o:spt="202" path="m,l,21600r21600,l21600,xe">
                <v:stroke joinstyle="miter"/>
                <v:path gradientshapeok="t" o:connecttype="rect"/>
              </v:shapetype>
              <v:shape id="Text Box 2" o:spid="_x0000_s1026" type="#_x0000_t202" style="position:absolute;margin-left:-1.5pt;margin-top:217.45pt;width:450.35pt;height:111.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" fillcolor="white [3212]" strokecolor="#bf8f00 [2407]">
                <v:textbox>
                  <w:txbxContent>
                    <w:p w14:paraId="481A973E" w14:textId="77777777" w:rsidR="002C5754" w:rsidRDefault="002C5754" w:rsidP="002C5754">
                      <w:pPr>
                        <w:spacing w:after="0" w:line="240" w:lineRule="auto"/>
                      </w:pPr>
                    </w:p>
                    <w:p w14:paraId="3F28EEF4" w14:textId="77777777" w:rsidR="007451DF" w:rsidRPr="00DF20EA" w:rsidRDefault="0087479E" w:rsidP="002C5754">
                      <w:pPr>
                        <w:spacing w:after="0" w:line="240" w:lineRule="auto"/>
                        <w:ind w:left="567" w:right="567"/>
                        <w:rPr>
                          <w:b/>
                          <w:color w:val="7B7B7B" w:themeColor="accent3" w:themeShade="BF"/>
                          <w:sz w:val="24"/>
                        </w:rPr>
                      </w:pPr>
                      <w:r w:rsidRPr="00DF20EA">
                        <w:rPr>
                          <w:b/>
                          <w:color w:val="7B7B7B" w:themeColor="accent3" w:themeShade="BF"/>
                          <w:sz w:val="24"/>
                        </w:rPr>
                        <w:t xml:space="preserve">Burke, PJ, Crozier, G and </w:t>
                      </w:r>
                      <w:proofErr w:type="spellStart"/>
                      <w:r w:rsidRPr="00DF20EA">
                        <w:rPr>
                          <w:b/>
                          <w:color w:val="7B7B7B" w:themeColor="accent3" w:themeShade="BF"/>
                          <w:sz w:val="24"/>
                        </w:rPr>
                        <w:t>Misiaszek</w:t>
                      </w:r>
                      <w:proofErr w:type="spellEnd"/>
                      <w:r w:rsidRPr="00DF20EA">
                        <w:rPr>
                          <w:b/>
                          <w:color w:val="7B7B7B" w:themeColor="accent3" w:themeShade="BF"/>
                          <w:sz w:val="24"/>
                        </w:rPr>
                        <w:t>, L</w:t>
                      </w:r>
                      <w:r w:rsidR="009A3D07" w:rsidRPr="00DF20EA">
                        <w:rPr>
                          <w:b/>
                          <w:color w:val="7B7B7B" w:themeColor="accent3" w:themeShade="BF"/>
                          <w:sz w:val="24"/>
                        </w:rPr>
                        <w:t xml:space="preserve">I. </w:t>
                      </w:r>
                      <w:r w:rsidRPr="00DF20EA">
                        <w:rPr>
                          <w:b/>
                          <w:color w:val="7B7B7B" w:themeColor="accent3" w:themeShade="BF"/>
                          <w:sz w:val="24"/>
                        </w:rPr>
                        <w:t xml:space="preserve">2017. </w:t>
                      </w:r>
                      <w:r w:rsidR="002C5754" w:rsidRPr="00DF20EA">
                        <w:rPr>
                          <w:b/>
                          <w:i/>
                          <w:color w:val="7B7B7B" w:themeColor="accent3" w:themeShade="BF"/>
                          <w:sz w:val="24"/>
                        </w:rPr>
                        <w:t>Changing Pedagogical Spaces in Higher Education: Diversity, Inequalities and Misrecognition</w:t>
                      </w:r>
                      <w:r w:rsidRPr="00DF20EA">
                        <w:rPr>
                          <w:b/>
                          <w:color w:val="7B7B7B" w:themeColor="accent3" w:themeShade="BF"/>
                          <w:sz w:val="24"/>
                        </w:rPr>
                        <w:t xml:space="preserve">. </w:t>
                      </w:r>
                      <w:r w:rsidR="002C5754" w:rsidRPr="00DF20EA">
                        <w:rPr>
                          <w:b/>
                          <w:color w:val="7B7B7B" w:themeColor="accent3" w:themeShade="BF"/>
                          <w:sz w:val="24"/>
                        </w:rPr>
                        <w:t xml:space="preserve">London: Routledge.  </w:t>
                      </w:r>
                    </w:p>
                    <w:p w14:paraId="2063E0C8" w14:textId="77777777" w:rsidR="000C53B0" w:rsidRPr="00DF20EA" w:rsidRDefault="000C53B0" w:rsidP="002C5754">
                      <w:pPr>
                        <w:spacing w:after="0" w:line="240" w:lineRule="auto"/>
                        <w:ind w:left="567" w:right="567"/>
                        <w:rPr>
                          <w:b/>
                          <w:color w:val="7B7B7B" w:themeColor="accent3" w:themeShade="BF"/>
                          <w:sz w:val="24"/>
                        </w:rPr>
                      </w:pPr>
                    </w:p>
                    <w:p w14:paraId="32B31FD7" w14:textId="1E9E7522" w:rsidR="000C53B0" w:rsidRPr="00DF20EA" w:rsidRDefault="000C53B0" w:rsidP="000C53B0">
                      <w:pPr>
                        <w:ind w:left="567"/>
                        <w:rPr>
                          <w:rFonts w:eastAsia="Times New Roman" w:cs="Arial"/>
                          <w:b/>
                          <w:color w:val="7B7B7B" w:themeColor="accent3" w:themeShade="BF"/>
                          <w:sz w:val="24"/>
                          <w:lang w:eastAsia="en-GB"/>
                        </w:rPr>
                      </w:pPr>
                      <w:r w:rsidRPr="00DF20EA">
                        <w:rPr>
                          <w:b/>
                          <w:color w:val="7B7B7B" w:themeColor="accent3" w:themeShade="BF"/>
                          <w:sz w:val="24"/>
                        </w:rPr>
                        <w:t xml:space="preserve">ISBN </w:t>
                      </w:r>
                      <w:r w:rsidR="00E678DD" w:rsidRPr="00DF20EA">
                        <w:rPr>
                          <w:rFonts w:ascii="Calibri" w:hAnsi="Calibri"/>
                          <w:b/>
                          <w:color w:val="7B7B7B" w:themeColor="accent3" w:themeShade="BF"/>
                          <w:sz w:val="24"/>
                          <w:shd w:val="clear" w:color="auto" w:fill="FFFFFF"/>
                        </w:rPr>
                        <w:t>9781138917224</w:t>
                      </w:r>
                      <w:r w:rsidRPr="00DF20EA">
                        <w:rPr>
                          <w:b/>
                          <w:color w:val="7B7B7B" w:themeColor="accent3" w:themeShade="BF"/>
                          <w:sz w:val="24"/>
                        </w:rPr>
                        <w:t xml:space="preserve">; </w:t>
                      </w:r>
                      <w:r w:rsidR="00E678DD" w:rsidRPr="00DF20EA">
                        <w:rPr>
                          <w:b/>
                          <w:color w:val="7B7B7B" w:themeColor="accent3" w:themeShade="BF"/>
                          <w:sz w:val="24"/>
                        </w:rPr>
                        <w:t>179</w:t>
                      </w:r>
                      <w:r w:rsidR="00DF20EA">
                        <w:rPr>
                          <w:b/>
                          <w:color w:val="7B7B7B" w:themeColor="accent3" w:themeShade="BF"/>
                          <w:sz w:val="24"/>
                        </w:rPr>
                        <w:t>pp.</w:t>
                      </w:r>
                    </w:p>
                  </w:txbxContent>
                </v:textbox>
                <w10:wrap type="square" anchory="page"/>
              </v:shape>
            </w:pict>
          </mc:Fallback>
        </mc:AlternateContent>
      </w:r>
      <w:r w:rsidR="007A36BE">
        <w:rPr>
          <w:b/>
          <w:color w:val="7B7B7B" w:themeColor="accent3" w:themeShade="BF"/>
          <w:sz w:val="28"/>
          <w:szCs w:val="28"/>
        </w:rPr>
        <w:t>Book Review</w:t>
      </w:r>
      <w:bookmarkStart w:id="0" w:name="_GoBack"/>
      <w:bookmarkEnd w:id="0"/>
      <w:r w:rsidR="00C446B9" w:rsidRPr="00146A4E">
        <w:rPr>
          <w:b/>
          <w:color w:val="7B7B7B" w:themeColor="accent3" w:themeShade="BF"/>
          <w:sz w:val="28"/>
          <w:szCs w:val="28"/>
        </w:rPr>
        <w:t xml:space="preserve"> </w:t>
      </w:r>
    </w:p>
    <w:p w14:paraId="67F4E448" w14:textId="48F3C7E5" w:rsidR="000C53B0" w:rsidRDefault="000C53B0" w:rsidP="002C5754">
      <w:pPr>
        <w:spacing w:after="0" w:line="240" w:lineRule="auto"/>
        <w:rPr>
          <w:b/>
          <w:color w:val="7B7B7B" w:themeColor="accent3" w:themeShade="BF"/>
          <w:sz w:val="28"/>
          <w:szCs w:val="28"/>
        </w:rPr>
      </w:pPr>
    </w:p>
    <w:tbl>
      <w:tblPr>
        <w:tblStyle w:val="TableGrid"/>
        <w:tblpPr w:leftFromText="180" w:rightFromText="180" w:vertAnchor="text" w:horzAnchor="margin" w:tblpY="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3734"/>
        <w:gridCol w:w="2593"/>
      </w:tblGrid>
      <w:tr w:rsidR="00B06E7C" w:rsidRPr="00BD25C0" w14:paraId="0BAD1816" w14:textId="77777777" w:rsidTr="00B06E7C">
        <w:tc>
          <w:tcPr>
            <w:tcW w:w="2689" w:type="dxa"/>
          </w:tcPr>
          <w:p w14:paraId="33A3DA7A" w14:textId="77777777" w:rsidR="00B06E7C" w:rsidRPr="00BD25C0" w:rsidRDefault="00B06E7C" w:rsidP="00B06E7C">
            <w:pPr>
              <w:rPr>
                <w:b/>
                <w:color w:val="525252" w:themeColor="accent3" w:themeShade="80"/>
                <w:sz w:val="24"/>
                <w:szCs w:val="24"/>
              </w:rPr>
            </w:pPr>
            <w:r w:rsidRPr="00BD25C0">
              <w:rPr>
                <w:b/>
                <w:color w:val="525252" w:themeColor="accent3" w:themeShade="80"/>
                <w:sz w:val="24"/>
                <w:szCs w:val="24"/>
              </w:rPr>
              <w:t xml:space="preserve">Reviewer: </w:t>
            </w:r>
          </w:p>
        </w:tc>
        <w:tc>
          <w:tcPr>
            <w:tcW w:w="3734" w:type="dxa"/>
          </w:tcPr>
          <w:p w14:paraId="300159A1" w14:textId="77777777" w:rsidR="00B06E7C" w:rsidRPr="00BD25C0" w:rsidRDefault="00B06E7C" w:rsidP="00B06E7C">
            <w:pPr>
              <w:rPr>
                <w:b/>
                <w:color w:val="525252" w:themeColor="accent3" w:themeShade="80"/>
                <w:sz w:val="24"/>
                <w:szCs w:val="24"/>
              </w:rPr>
            </w:pPr>
          </w:p>
        </w:tc>
        <w:tc>
          <w:tcPr>
            <w:tcW w:w="2593" w:type="dxa"/>
          </w:tcPr>
          <w:p w14:paraId="3ED85120" w14:textId="77777777" w:rsidR="00B06E7C" w:rsidRPr="00BD25C0" w:rsidRDefault="00B06E7C" w:rsidP="00B06E7C">
            <w:pPr>
              <w:rPr>
                <w:b/>
                <w:color w:val="525252" w:themeColor="accent3" w:themeShade="80"/>
                <w:sz w:val="24"/>
                <w:szCs w:val="24"/>
              </w:rPr>
            </w:pPr>
          </w:p>
        </w:tc>
      </w:tr>
      <w:tr w:rsidR="00B06E7C" w:rsidRPr="00BD25C0" w14:paraId="6E8D5B86" w14:textId="77777777" w:rsidTr="00B06E7C">
        <w:tc>
          <w:tcPr>
            <w:tcW w:w="2689" w:type="dxa"/>
          </w:tcPr>
          <w:p w14:paraId="0A81C735" w14:textId="77777777" w:rsidR="00B06E7C" w:rsidRPr="00BD25C0" w:rsidRDefault="00B06E7C" w:rsidP="00B06E7C">
            <w:pPr>
              <w:rPr>
                <w:b/>
                <w:color w:val="525252" w:themeColor="accent3" w:themeShade="80"/>
                <w:sz w:val="24"/>
                <w:szCs w:val="24"/>
              </w:rPr>
            </w:pPr>
            <w:r w:rsidRPr="00BD25C0">
              <w:rPr>
                <w:b/>
                <w:color w:val="525252" w:themeColor="accent3" w:themeShade="80"/>
                <w:sz w:val="24"/>
                <w:szCs w:val="24"/>
              </w:rPr>
              <w:t>Zach Simpson</w:t>
            </w:r>
          </w:p>
        </w:tc>
        <w:tc>
          <w:tcPr>
            <w:tcW w:w="3734" w:type="dxa"/>
          </w:tcPr>
          <w:p w14:paraId="2FC3ED1C" w14:textId="77777777" w:rsidR="00B06E7C" w:rsidRPr="00BD25C0" w:rsidRDefault="00B06E7C" w:rsidP="00B06E7C">
            <w:pPr>
              <w:rPr>
                <w:b/>
                <w:color w:val="525252" w:themeColor="accent3" w:themeShade="80"/>
                <w:sz w:val="24"/>
                <w:szCs w:val="24"/>
              </w:rPr>
            </w:pPr>
            <w:r w:rsidRPr="00BD25C0">
              <w:rPr>
                <w:color w:val="525252" w:themeColor="accent3" w:themeShade="80"/>
              </w:rPr>
              <w:t>University of Johannesburg</w:t>
            </w:r>
          </w:p>
        </w:tc>
        <w:tc>
          <w:tcPr>
            <w:tcW w:w="2593" w:type="dxa"/>
          </w:tcPr>
          <w:p w14:paraId="0A6C0F23" w14:textId="77777777" w:rsidR="00B06E7C" w:rsidRPr="00BD25C0" w:rsidRDefault="00B06E7C" w:rsidP="00B06E7C">
            <w:pPr>
              <w:rPr>
                <w:b/>
                <w:color w:val="525252" w:themeColor="accent3" w:themeShade="80"/>
                <w:sz w:val="24"/>
                <w:szCs w:val="24"/>
              </w:rPr>
            </w:pPr>
            <w:r w:rsidRPr="00BD25C0">
              <w:rPr>
                <w:color w:val="525252" w:themeColor="accent3" w:themeShade="80"/>
              </w:rPr>
              <w:t>zsimpson@uj.ac.za</w:t>
            </w:r>
          </w:p>
        </w:tc>
      </w:tr>
    </w:tbl>
    <w:p w14:paraId="174B6E02" w14:textId="77777777" w:rsidR="00BD25C0" w:rsidRDefault="00BD25C0" w:rsidP="00BD25C0">
      <w:pPr>
        <w:spacing w:before="240" w:after="0" w:line="276" w:lineRule="auto"/>
        <w:jc w:val="both"/>
      </w:pPr>
    </w:p>
    <w:p w14:paraId="7BA67406" w14:textId="77777777" w:rsidR="002C5754" w:rsidRPr="00E2351C" w:rsidRDefault="002C5754" w:rsidP="0019255B">
      <w:pPr>
        <w:spacing w:after="0" w:line="276" w:lineRule="auto"/>
        <w:jc w:val="both"/>
      </w:pPr>
      <w:r w:rsidRPr="00E2351C">
        <w:t xml:space="preserve">In this book, Burke, Crozier and </w:t>
      </w:r>
      <w:proofErr w:type="spellStart"/>
      <w:r w:rsidRPr="00E2351C">
        <w:t>Misiaszek</w:t>
      </w:r>
      <w:proofErr w:type="spellEnd"/>
      <w:r w:rsidRPr="00E2351C">
        <w:t xml:space="preserve"> question the extent to which universities support the participation of diverse groups, or exclude groups through standardi</w:t>
      </w:r>
      <w:r w:rsidR="009A3D07" w:rsidRPr="00E2351C">
        <w:t>sing or homogenising practices.</w:t>
      </w:r>
      <w:r w:rsidRPr="00E2351C">
        <w:t xml:space="preserve"> They critique dominant conceptions of ‘inclusion’, arguing that, too often, such efforts are in fact forms of symbolic violence in that they force individuals to conform to dominant val</w:t>
      </w:r>
      <w:r w:rsidR="009A3D07" w:rsidRPr="00E2351C">
        <w:t xml:space="preserve">ues, identities and practices. </w:t>
      </w:r>
      <w:r w:rsidRPr="00E2351C">
        <w:t>In place of these dominant conceptions, the authors call for ‘pedagogic participation’, which requires “‘parity of participation’ in relation to the social justice struggles of redistribution, recognition and representation” (</w:t>
      </w:r>
      <w:r w:rsidR="00FF64E8" w:rsidRPr="00E2351C">
        <w:t xml:space="preserve">Burke </w:t>
      </w:r>
      <w:r w:rsidR="00FF64E8" w:rsidRPr="00E2351C">
        <w:rPr>
          <w:i/>
        </w:rPr>
        <w:t>et al.</w:t>
      </w:r>
      <w:r w:rsidR="00FF64E8" w:rsidRPr="00E2351C">
        <w:t xml:space="preserve"> 2017:</w:t>
      </w:r>
      <w:r w:rsidR="009A3D07" w:rsidRPr="00E2351C">
        <w:t xml:space="preserve">3). </w:t>
      </w:r>
      <w:r w:rsidRPr="00E2351C">
        <w:t xml:space="preserve">Indeed, these three notions form the cornerstone of their argument: simply redistributing opportunities to communities who have been denied such, while crucial, is meaningless without simultaneously recognising the value that different perspectives and knowledges can bring to higher education, and providing opportunities for these perspectives to gain representation.  </w:t>
      </w:r>
    </w:p>
    <w:p w14:paraId="3BBDFCD2" w14:textId="77777777" w:rsidR="002C5754" w:rsidRPr="00E2351C" w:rsidRDefault="002C5754" w:rsidP="0019255B">
      <w:pPr>
        <w:spacing w:after="0" w:line="276" w:lineRule="auto"/>
        <w:jc w:val="both"/>
      </w:pPr>
    </w:p>
    <w:p w14:paraId="0298DAD6" w14:textId="77777777" w:rsidR="002C5754" w:rsidRPr="00E2351C" w:rsidRDefault="002C5754" w:rsidP="0019255B">
      <w:pPr>
        <w:spacing w:after="0" w:line="276" w:lineRule="auto"/>
        <w:jc w:val="both"/>
      </w:pPr>
      <w:r w:rsidRPr="00E2351C">
        <w:t>A strength of this</w:t>
      </w:r>
      <w:r w:rsidR="009A3D07" w:rsidRPr="00E2351C">
        <w:t xml:space="preserve"> book is its conceptual depth. </w:t>
      </w:r>
      <w:r w:rsidRPr="00E2351C">
        <w:t>The initial chapters, as well as the concluding chapter, provide a lucid and consistent mapping of the forces that have led to higher education becoming complicit in “a pol</w:t>
      </w:r>
      <w:r w:rsidR="009A3D07" w:rsidRPr="00E2351C">
        <w:t xml:space="preserve">itics of misrecognition”. </w:t>
      </w:r>
      <w:r w:rsidRPr="00E2351C">
        <w:t xml:space="preserve">These forces (neoliberalism, globalisation, </w:t>
      </w:r>
      <w:proofErr w:type="spellStart"/>
      <w:r w:rsidRPr="00E2351C">
        <w:t>neoconservatism</w:t>
      </w:r>
      <w:proofErr w:type="spellEnd"/>
      <w:r w:rsidRPr="00E2351C">
        <w:t>, corporatisation, managerialism, to name only some), coupled with discourses of ‘excellence’, ‘performativity’, ‘rankings’, ‘measurement’ and ‘</w:t>
      </w:r>
      <w:proofErr w:type="spellStart"/>
      <w:r w:rsidRPr="00E2351C">
        <w:t>datafication</w:t>
      </w:r>
      <w:proofErr w:type="spellEnd"/>
      <w:r w:rsidRPr="00E2351C">
        <w:t>’, have meant that higher education has ignored “deeply embedded and complex histories of misrecognition, creating new forms of inequality, stratification and exclusion” (</w:t>
      </w:r>
      <w:r w:rsidR="00FF64E8" w:rsidRPr="00E2351C">
        <w:t xml:space="preserve">Burke </w:t>
      </w:r>
      <w:r w:rsidR="00FF64E8" w:rsidRPr="00E2351C">
        <w:rPr>
          <w:i/>
        </w:rPr>
        <w:t>et al.</w:t>
      </w:r>
      <w:r w:rsidR="00FF64E8" w:rsidRPr="00E2351C">
        <w:t xml:space="preserve"> 2017:</w:t>
      </w:r>
      <w:r w:rsidR="009A3D07" w:rsidRPr="00E2351C">
        <w:t xml:space="preserve">11). </w:t>
      </w:r>
      <w:r w:rsidRPr="00E2351C">
        <w:t>The authors take the position that “pedagogical spaces must be reshaped in relation to broader social justice imperatives, that foreground higher education as an institution th</w:t>
      </w:r>
      <w:r w:rsidR="002E3B32" w:rsidRPr="00E2351C">
        <w:t>at bears social responsibility”</w:t>
      </w:r>
      <w:r w:rsidRPr="00E2351C">
        <w:t xml:space="preserve">; and that “the right to higher education tends to be understood in terms of individual ability, efficacy, potential and hard work, rather than as shaped by structural, cultural and institutional inequalities and misrecognitions” </w:t>
      </w:r>
      <w:r w:rsidR="00FF64E8" w:rsidRPr="00E2351C">
        <w:lastRenderedPageBreak/>
        <w:t xml:space="preserve">(Burke </w:t>
      </w:r>
      <w:r w:rsidR="00FF64E8" w:rsidRPr="00E2351C">
        <w:rPr>
          <w:i/>
        </w:rPr>
        <w:t>et al.</w:t>
      </w:r>
      <w:r w:rsidR="00FF64E8" w:rsidRPr="00E2351C">
        <w:t xml:space="preserve"> 2017:</w:t>
      </w:r>
      <w:r w:rsidR="002E3B32" w:rsidRPr="00E2351C">
        <w:t>132,</w:t>
      </w:r>
      <w:r w:rsidR="009A3D07" w:rsidRPr="00E2351C">
        <w:t xml:space="preserve">134). </w:t>
      </w:r>
      <w:r w:rsidRPr="00E2351C">
        <w:t xml:space="preserve">As such, one of the main tenets of their argument is that “transforming pedagogies for social justice relies on equitable distributive, recognition and representation processes that work with and through difference” </w:t>
      </w:r>
      <w:r w:rsidR="00FF64E8" w:rsidRPr="00E2351C">
        <w:t xml:space="preserve">(Burke </w:t>
      </w:r>
      <w:r w:rsidR="00FF64E8" w:rsidRPr="00E2351C">
        <w:rPr>
          <w:i/>
        </w:rPr>
        <w:t>et al.</w:t>
      </w:r>
      <w:r w:rsidR="00FF64E8" w:rsidRPr="00E2351C">
        <w:t xml:space="preserve"> 2017:</w:t>
      </w:r>
      <w:r w:rsidRPr="00E2351C">
        <w:t xml:space="preserve">134). Throughout the book, there are similar powerful statements that speak to the enormous pressures facing institutions of higher education, and how these pressures are in turn transferred, inequitably, to its participants – teachers and students alike.       </w:t>
      </w:r>
    </w:p>
    <w:p w14:paraId="3D0FEF5A" w14:textId="77777777" w:rsidR="002C5754" w:rsidRPr="00E2351C" w:rsidRDefault="002C5754" w:rsidP="0019255B">
      <w:pPr>
        <w:spacing w:after="0" w:line="276" w:lineRule="auto"/>
        <w:jc w:val="both"/>
      </w:pPr>
    </w:p>
    <w:p w14:paraId="275E1E99" w14:textId="77777777" w:rsidR="002C5754" w:rsidRPr="00E2351C" w:rsidRDefault="002C5754" w:rsidP="0019255B">
      <w:pPr>
        <w:spacing w:after="0" w:line="276" w:lineRule="auto"/>
        <w:jc w:val="both"/>
      </w:pPr>
      <w:r w:rsidRPr="00E2351C">
        <w:t>Where I found this book wanting was</w:t>
      </w:r>
      <w:r w:rsidR="009A3D07" w:rsidRPr="00E2351C">
        <w:t xml:space="preserve"> in its methodological claims. </w:t>
      </w:r>
      <w:r w:rsidRPr="00E2351C">
        <w:t xml:space="preserve">Burke, Crozier and </w:t>
      </w:r>
      <w:proofErr w:type="spellStart"/>
      <w:r w:rsidRPr="00E2351C">
        <w:t>Misiaszek</w:t>
      </w:r>
      <w:proofErr w:type="spellEnd"/>
      <w:r w:rsidRPr="00E2351C">
        <w:t xml:space="preserve"> </w:t>
      </w:r>
      <w:r w:rsidR="00FF64E8" w:rsidRPr="00E2351C">
        <w:t xml:space="preserve">(2017:49) </w:t>
      </w:r>
      <w:r w:rsidRPr="00E2351C">
        <w:t>introduce readers to ‘pedagogical methodology’ which, they argue, seeks to create “counter-hegemonic spaces in higher education for social justice pedago</w:t>
      </w:r>
      <w:r w:rsidR="00FF64E8" w:rsidRPr="00E2351C">
        <w:t>gies of and for difference”</w:t>
      </w:r>
      <w:r w:rsidR="009A3D07" w:rsidRPr="00E2351C">
        <w:t>.</w:t>
      </w:r>
      <w:r w:rsidRPr="00E2351C">
        <w:t xml:space="preserve"> Such an approach is supposed to allow educators and students to reflect on their pedagogical experiences and locate these within wider social contexts, inequ</w:t>
      </w:r>
      <w:r w:rsidR="009A3D07" w:rsidRPr="00E2351C">
        <w:t xml:space="preserve">alities and exclusions. </w:t>
      </w:r>
      <w:r w:rsidRPr="00E2351C">
        <w:t>According to the authors, this methodology involves generating critical reflection on praxis so as to develop new ways of knowing through ne</w:t>
      </w:r>
      <w:r w:rsidR="009A3D07" w:rsidRPr="00E2351C">
        <w:t xml:space="preserve">w ways of working with people. </w:t>
      </w:r>
      <w:r w:rsidRPr="00E2351C">
        <w:t>However, the ways in which data is presented and handled within the book (in chapters four through eight) does little to exemplify these ‘new’ ways of k</w:t>
      </w:r>
      <w:r w:rsidR="009A3D07" w:rsidRPr="00E2351C">
        <w:t>nowing and working with people.</w:t>
      </w:r>
      <w:r w:rsidRPr="00E2351C">
        <w:t xml:space="preserve"> Instead, the authors rely on the traditional forms of individual interview</w:t>
      </w:r>
      <w:r w:rsidR="009A3D07" w:rsidRPr="00E2351C">
        <w:t xml:space="preserve">s and focus group discussions. </w:t>
      </w:r>
      <w:r w:rsidRPr="00E2351C">
        <w:t xml:space="preserve">Although one of the appendices speaks to further aspects of the research undertaken (workshops, student engagement sessions), these sites of engagement do not appear to make their way into the authors’ text.  </w:t>
      </w:r>
    </w:p>
    <w:p w14:paraId="60C8A853" w14:textId="77777777" w:rsidR="002C5754" w:rsidRPr="00E2351C" w:rsidRDefault="002C5754" w:rsidP="0019255B">
      <w:pPr>
        <w:spacing w:after="0" w:line="276" w:lineRule="auto"/>
        <w:jc w:val="both"/>
      </w:pPr>
    </w:p>
    <w:p w14:paraId="0CEE62B4" w14:textId="77777777" w:rsidR="002C5754" w:rsidRPr="00E2351C" w:rsidRDefault="002C5754" w:rsidP="0019255B">
      <w:pPr>
        <w:spacing w:after="0" w:line="276" w:lineRule="auto"/>
        <w:jc w:val="both"/>
      </w:pPr>
      <w:r w:rsidRPr="00E2351C">
        <w:t>As such, when one participant lecturer admits that he is “intimidated by the group of Black boys at the ba</w:t>
      </w:r>
      <w:r w:rsidR="002B10CD" w:rsidRPr="00E2351C">
        <w:t>ck” (as part of a lengthy quote</w:t>
      </w:r>
      <w:r w:rsidRPr="00E2351C">
        <w:t xml:space="preserve"> and discussion in chapter four), there is little sense of how the transformative impetus behind ‘pedagogical methodology’ has, or might have, engaged this teacher in critical reflection regarding his perception of his black male students as ‘dangerous’ and the disrespect he shows b</w:t>
      </w:r>
      <w:r w:rsidR="009A3D07" w:rsidRPr="00E2351C">
        <w:t xml:space="preserve">y referring to them as ‘boys’. </w:t>
      </w:r>
      <w:r w:rsidRPr="00E2351C">
        <w:t>Similarly, it is unclear where and how this lecturer might “deepen [his] understanding of gendered identities, inequalities and pedagogies and to feed in to the process of developing inclusive practice” (</w:t>
      </w:r>
      <w:r w:rsidR="00FF64E8" w:rsidRPr="00E2351C">
        <w:t xml:space="preserve">Burke </w:t>
      </w:r>
      <w:r w:rsidR="00FF64E8" w:rsidRPr="00E2351C">
        <w:rPr>
          <w:i/>
        </w:rPr>
        <w:t>et al.</w:t>
      </w:r>
      <w:r w:rsidR="00FF64E8" w:rsidRPr="00E2351C">
        <w:t xml:space="preserve"> 2017:</w:t>
      </w:r>
      <w:r w:rsidR="009A3D07" w:rsidRPr="00E2351C">
        <w:t xml:space="preserve">140). </w:t>
      </w:r>
      <w:r w:rsidRPr="00E2351C">
        <w:t xml:space="preserve">As a result, it is unclear what the basis is for the authors’ conclusion that the spaces opened up by ‘pedagogical methodology’ are constituted both “through and </w:t>
      </w:r>
      <w:r w:rsidRPr="00E2351C">
        <w:rPr>
          <w:i/>
        </w:rPr>
        <w:t>beyond the research</w:t>
      </w:r>
      <w:r w:rsidRPr="00E2351C">
        <w:t>” (</w:t>
      </w:r>
      <w:r w:rsidR="00FF64E8" w:rsidRPr="00E2351C">
        <w:t xml:space="preserve">Burke </w:t>
      </w:r>
      <w:r w:rsidR="00FF64E8" w:rsidRPr="00E2351C">
        <w:rPr>
          <w:i/>
        </w:rPr>
        <w:t>et al.</w:t>
      </w:r>
      <w:r w:rsidR="00FF64E8" w:rsidRPr="00E2351C">
        <w:t xml:space="preserve"> 2017:</w:t>
      </w:r>
      <w:r w:rsidR="009A3D07" w:rsidRPr="00E2351C">
        <w:t xml:space="preserve">135, emphasis in original). </w:t>
      </w:r>
      <w:r w:rsidRPr="00E2351C">
        <w:t xml:space="preserve">The idea of pedagogical methodology seems to be a promising one, but its exemplification herein perhaps fails to demonstrate how it differs from traditional observational methodologies.  </w:t>
      </w:r>
    </w:p>
    <w:p w14:paraId="304D521B" w14:textId="77777777" w:rsidR="002C5754" w:rsidRPr="00E2351C" w:rsidRDefault="002C5754" w:rsidP="0019255B">
      <w:pPr>
        <w:spacing w:after="0" w:line="276" w:lineRule="auto"/>
        <w:jc w:val="both"/>
      </w:pPr>
    </w:p>
    <w:p w14:paraId="2153B0EC" w14:textId="550F391B" w:rsidR="002C5754" w:rsidRPr="00E2351C" w:rsidRDefault="002C5754" w:rsidP="0019255B">
      <w:pPr>
        <w:spacing w:after="0" w:line="276" w:lineRule="auto"/>
        <w:jc w:val="both"/>
      </w:pPr>
      <w:r w:rsidRPr="00E2351C">
        <w:t>One of the challenges facing texts of this nature is the need to offer practical implications</w:t>
      </w:r>
      <w:r w:rsidR="009A3D07" w:rsidRPr="00E2351C">
        <w:t xml:space="preserve">, for policy and for practice. </w:t>
      </w:r>
      <w:r w:rsidRPr="00E2351C">
        <w:t xml:space="preserve">Much has been written </w:t>
      </w:r>
      <w:r w:rsidR="00D612A6" w:rsidRPr="00E2351C">
        <w:t xml:space="preserve">regarding the pervasive </w:t>
      </w:r>
      <w:proofErr w:type="spellStart"/>
      <w:r w:rsidR="00E600D4" w:rsidRPr="00E2351C">
        <w:t>marketi</w:t>
      </w:r>
      <w:r w:rsidR="00B730B6" w:rsidRPr="00E2351C">
        <w:t>s</w:t>
      </w:r>
      <w:r w:rsidR="00E600D4" w:rsidRPr="00E2351C">
        <w:t>ation</w:t>
      </w:r>
      <w:proofErr w:type="spellEnd"/>
      <w:r w:rsidRPr="00E2351C">
        <w:t xml:space="preserve"> of higher education; yet, despite the reams of paper devoted to this topic, the neoliberal agenda continues apac</w:t>
      </w:r>
      <w:r w:rsidR="009A3D07" w:rsidRPr="00E2351C">
        <w:t xml:space="preserve">e, perhaps stronger than ever. </w:t>
      </w:r>
      <w:r w:rsidRPr="00E2351C">
        <w:t>Students, teachers, policy-makers and university management increasingly ‘buy-in’ – sometimes reluctantly but often not – to the measurement discourses used to evaluate and rank higher education institutions, their staff and, mo</w:t>
      </w:r>
      <w:r w:rsidR="009A3D07" w:rsidRPr="00E2351C">
        <w:t xml:space="preserve">re indirectly, their students. </w:t>
      </w:r>
      <w:r w:rsidRPr="00E2351C">
        <w:t xml:space="preserve">This is due, in part, to the dearth of practical guidance </w:t>
      </w:r>
      <w:r w:rsidR="009A3D07" w:rsidRPr="00E2351C">
        <w:t xml:space="preserve">offered within the literature. </w:t>
      </w:r>
      <w:r w:rsidRPr="00E2351C">
        <w:t>To this end, Burke and colleagues do offer some practical advice: the need for a “structured framework to tackle issues of pedagogical exclusions and inequalities”; the need to embed discussions of race, class and gender within higher education curricula; and the need to pay close attention to spaces, physical and virtual, within higher education and the ways in which they constrain, or enable, pedagogy and ‘belonging’</w:t>
      </w:r>
      <w:r w:rsidR="00FF64E8" w:rsidRPr="00E2351C">
        <w:t xml:space="preserve"> (Burke </w:t>
      </w:r>
      <w:r w:rsidR="00FF64E8" w:rsidRPr="00E2351C">
        <w:rPr>
          <w:i/>
        </w:rPr>
        <w:t>et al.</w:t>
      </w:r>
      <w:r w:rsidR="00FF64E8" w:rsidRPr="00E2351C">
        <w:t xml:space="preserve"> 2017:141)</w:t>
      </w:r>
      <w:r w:rsidR="00DE43D9" w:rsidRPr="00E2351C">
        <w:t>.</w:t>
      </w:r>
      <w:r w:rsidRPr="00E2351C">
        <w:t xml:space="preserve"> These are useful suggestions, but it obviously remains for readers to reflect on the suggestions the authors proffer and the usefulness thereof within a range of particular contexts.</w:t>
      </w:r>
    </w:p>
    <w:p w14:paraId="22B722C8" w14:textId="77777777" w:rsidR="002C5754" w:rsidRPr="00E2351C" w:rsidRDefault="002C5754" w:rsidP="0019255B">
      <w:pPr>
        <w:spacing w:after="0" w:line="276" w:lineRule="auto"/>
        <w:jc w:val="both"/>
      </w:pPr>
    </w:p>
    <w:p w14:paraId="66BE0C59" w14:textId="77777777" w:rsidR="002C5754" w:rsidRPr="00E2351C" w:rsidRDefault="002C5754" w:rsidP="0019255B">
      <w:pPr>
        <w:spacing w:after="0" w:line="276" w:lineRule="auto"/>
        <w:jc w:val="both"/>
      </w:pPr>
      <w:r w:rsidRPr="00E2351C">
        <w:t xml:space="preserve">Burke, Crozier and </w:t>
      </w:r>
      <w:proofErr w:type="spellStart"/>
      <w:r w:rsidRPr="00E2351C">
        <w:t>Misiaszek</w:t>
      </w:r>
      <w:proofErr w:type="spellEnd"/>
      <w:r w:rsidRPr="00E2351C">
        <w:t xml:space="preserve"> </w:t>
      </w:r>
      <w:r w:rsidR="00FF64E8" w:rsidRPr="00E2351C">
        <w:t xml:space="preserve">(2017:141) </w:t>
      </w:r>
      <w:r w:rsidRPr="00E2351C">
        <w:t xml:space="preserve">argue that higher education needs to interrogate “neo-liberal and other intersecting political forces that are </w:t>
      </w:r>
      <w:proofErr w:type="spellStart"/>
      <w:r w:rsidRPr="00E2351C">
        <w:t>seeped</w:t>
      </w:r>
      <w:proofErr w:type="spellEnd"/>
      <w:r w:rsidRPr="00E2351C">
        <w:t xml:space="preserve"> in the perpetuation and</w:t>
      </w:r>
      <w:r w:rsidR="00FF64E8" w:rsidRPr="00E2351C">
        <w:t xml:space="preserve"> widening of inequalities”</w:t>
      </w:r>
      <w:r w:rsidR="009A3D07" w:rsidRPr="00E2351C">
        <w:t>.</w:t>
      </w:r>
      <w:r w:rsidRPr="00E2351C">
        <w:t xml:space="preserve"> They continue: institutions need to give “attention to the politics of knowledge, representation and meaning-making to address complex questions of epistemic access ... [through] inclusive pedagogies and curriculum that recognise the experiences, histories and knowledges of those communities that have been historically marginalised in and excluded from higher education” (</w:t>
      </w:r>
      <w:r w:rsidR="00FF64E8" w:rsidRPr="00E2351C">
        <w:t xml:space="preserve">Burke </w:t>
      </w:r>
      <w:r w:rsidR="00FF64E8" w:rsidRPr="00E2351C">
        <w:rPr>
          <w:i/>
        </w:rPr>
        <w:t>et al.</w:t>
      </w:r>
      <w:r w:rsidR="00FF64E8" w:rsidRPr="00E2351C">
        <w:t xml:space="preserve"> 2017:</w:t>
      </w:r>
      <w:r w:rsidR="009A3D07" w:rsidRPr="00E2351C">
        <w:t xml:space="preserve">142). </w:t>
      </w:r>
      <w:r w:rsidRPr="00E2351C">
        <w:t>As such, this book speaks to debates raging across the ‘global South’, despite the fact that its</w:t>
      </w:r>
      <w:r w:rsidR="009A3D07" w:rsidRPr="00E2351C">
        <w:t xml:space="preserve"> origin is the United Kingdom. </w:t>
      </w:r>
      <w:r w:rsidRPr="00E2351C">
        <w:t>This book reminds us that teaching and learning is about “ways of being and doing that are shaped and reformed through gendered, classed and racialized practices” (</w:t>
      </w:r>
      <w:r w:rsidR="00FF64E8" w:rsidRPr="00E2351C">
        <w:t xml:space="preserve">Burke </w:t>
      </w:r>
      <w:r w:rsidR="00FF64E8" w:rsidRPr="00E2351C">
        <w:rPr>
          <w:i/>
        </w:rPr>
        <w:t>et al.</w:t>
      </w:r>
      <w:r w:rsidR="00FF64E8" w:rsidRPr="00E2351C">
        <w:t xml:space="preserve"> 2017:</w:t>
      </w:r>
      <w:r w:rsidRPr="00E2351C">
        <w:t>138).</w:t>
      </w:r>
    </w:p>
    <w:p w14:paraId="23ECAD4B" w14:textId="77777777" w:rsidR="00B246C2" w:rsidRPr="00E2351C" w:rsidRDefault="00B246C2" w:rsidP="0019255B">
      <w:pPr>
        <w:spacing w:after="0" w:line="276" w:lineRule="auto"/>
        <w:jc w:val="both"/>
      </w:pPr>
    </w:p>
    <w:p w14:paraId="452D9323" w14:textId="77777777" w:rsidR="006C78D8" w:rsidRPr="00E2351C" w:rsidRDefault="006C78D8" w:rsidP="0019255B">
      <w:pPr>
        <w:spacing w:after="0" w:line="276" w:lineRule="auto"/>
        <w:jc w:val="both"/>
      </w:pPr>
    </w:p>
    <w:p w14:paraId="00728F25" w14:textId="77777777" w:rsidR="006C78D8" w:rsidRPr="00E2351C" w:rsidRDefault="006C78D8" w:rsidP="0019255B">
      <w:pPr>
        <w:spacing w:after="0" w:line="276" w:lineRule="auto"/>
        <w:jc w:val="both"/>
      </w:pPr>
    </w:p>
    <w:p w14:paraId="45EA215C" w14:textId="77777777" w:rsidR="006C78D8" w:rsidRPr="00E2351C" w:rsidRDefault="006C78D8" w:rsidP="0019255B">
      <w:pPr>
        <w:spacing w:after="0" w:line="276" w:lineRule="auto"/>
        <w:jc w:val="both"/>
      </w:pPr>
    </w:p>
    <w:p w14:paraId="420E92A0" w14:textId="77777777" w:rsidR="006C78D8" w:rsidRPr="00E2351C" w:rsidRDefault="006C78D8" w:rsidP="0019255B">
      <w:pPr>
        <w:spacing w:after="0" w:line="276" w:lineRule="auto"/>
        <w:jc w:val="both"/>
      </w:pPr>
    </w:p>
    <w:p w14:paraId="441BDF03" w14:textId="77777777" w:rsidR="006C78D8" w:rsidRPr="00E2351C" w:rsidRDefault="006C78D8" w:rsidP="0019255B">
      <w:pPr>
        <w:spacing w:after="0" w:line="276" w:lineRule="auto"/>
        <w:jc w:val="both"/>
      </w:pPr>
    </w:p>
    <w:p w14:paraId="7C475C97" w14:textId="77777777" w:rsidR="006C78D8" w:rsidRPr="00E2351C" w:rsidRDefault="006C78D8" w:rsidP="0019255B">
      <w:pPr>
        <w:spacing w:after="0" w:line="276" w:lineRule="auto"/>
        <w:jc w:val="both"/>
      </w:pPr>
    </w:p>
    <w:p w14:paraId="58B7F947" w14:textId="77777777" w:rsidR="006C78D8" w:rsidRPr="00E2351C" w:rsidRDefault="006C78D8" w:rsidP="0019255B">
      <w:pPr>
        <w:spacing w:after="0" w:line="276" w:lineRule="auto"/>
        <w:jc w:val="both"/>
      </w:pPr>
    </w:p>
    <w:p w14:paraId="24E2EC57" w14:textId="77777777" w:rsidR="006C78D8" w:rsidRPr="00E2351C" w:rsidRDefault="006C78D8" w:rsidP="0019255B">
      <w:pPr>
        <w:spacing w:after="0" w:line="276" w:lineRule="auto"/>
        <w:jc w:val="both"/>
      </w:pPr>
    </w:p>
    <w:p w14:paraId="30918D63" w14:textId="77777777" w:rsidR="006C78D8" w:rsidRPr="00E2351C" w:rsidRDefault="006C78D8" w:rsidP="0019255B">
      <w:pPr>
        <w:spacing w:after="0" w:line="276" w:lineRule="auto"/>
        <w:jc w:val="both"/>
      </w:pPr>
    </w:p>
    <w:p w14:paraId="5AE9E941" w14:textId="77777777" w:rsidR="006C78D8" w:rsidRPr="00E2351C" w:rsidRDefault="006C78D8" w:rsidP="0019255B">
      <w:pPr>
        <w:spacing w:after="0" w:line="276" w:lineRule="auto"/>
        <w:jc w:val="both"/>
      </w:pPr>
    </w:p>
    <w:p w14:paraId="4EFD43AF" w14:textId="77777777" w:rsidR="006C78D8" w:rsidRPr="00E2351C" w:rsidRDefault="006C78D8" w:rsidP="0019255B">
      <w:pPr>
        <w:spacing w:after="0" w:line="276" w:lineRule="auto"/>
        <w:jc w:val="both"/>
      </w:pPr>
    </w:p>
    <w:p w14:paraId="651A81A4" w14:textId="77777777" w:rsidR="006C78D8" w:rsidRPr="00E2351C" w:rsidRDefault="006C78D8" w:rsidP="0019255B">
      <w:pPr>
        <w:spacing w:after="0" w:line="276" w:lineRule="auto"/>
        <w:jc w:val="both"/>
      </w:pPr>
    </w:p>
    <w:p w14:paraId="44EC4E17" w14:textId="77777777" w:rsidR="006C78D8" w:rsidRPr="00E2351C" w:rsidRDefault="006C78D8" w:rsidP="0019255B">
      <w:pPr>
        <w:spacing w:after="0" w:line="276" w:lineRule="auto"/>
        <w:jc w:val="both"/>
      </w:pPr>
    </w:p>
    <w:p w14:paraId="387C9635" w14:textId="77777777" w:rsidR="006C78D8" w:rsidRPr="00E2351C" w:rsidRDefault="006C78D8" w:rsidP="0019255B">
      <w:pPr>
        <w:spacing w:after="0" w:line="276" w:lineRule="auto"/>
        <w:jc w:val="both"/>
      </w:pPr>
    </w:p>
    <w:p w14:paraId="1E9B3E88" w14:textId="77777777" w:rsidR="006C78D8" w:rsidRPr="00E2351C" w:rsidRDefault="006C78D8" w:rsidP="0019255B">
      <w:pPr>
        <w:spacing w:after="0" w:line="276" w:lineRule="auto"/>
        <w:jc w:val="both"/>
      </w:pPr>
    </w:p>
    <w:p w14:paraId="5AA637BB" w14:textId="77777777" w:rsidR="006C78D8" w:rsidRPr="00E2351C" w:rsidRDefault="006C78D8" w:rsidP="0019255B">
      <w:pPr>
        <w:spacing w:after="0" w:line="276" w:lineRule="auto"/>
        <w:jc w:val="both"/>
      </w:pPr>
    </w:p>
    <w:p w14:paraId="49C0CC7E" w14:textId="77777777" w:rsidR="00B246C2" w:rsidRPr="00E2351C" w:rsidRDefault="00B246C2" w:rsidP="004F69EC">
      <w:pPr>
        <w:spacing w:after="0" w:line="276" w:lineRule="auto"/>
        <w:jc w:val="both"/>
      </w:pPr>
    </w:p>
    <w:p w14:paraId="44BAA1A0" w14:textId="77777777" w:rsidR="006C78D8" w:rsidRPr="00E2351C" w:rsidRDefault="006C78D8" w:rsidP="004F69EC">
      <w:pPr>
        <w:spacing w:after="0" w:line="276" w:lineRule="auto"/>
        <w:jc w:val="both"/>
      </w:pPr>
    </w:p>
    <w:p w14:paraId="46D75622" w14:textId="77777777" w:rsidR="006C78D8" w:rsidRPr="00E2351C" w:rsidRDefault="006C78D8" w:rsidP="004F69EC">
      <w:pPr>
        <w:spacing w:after="0" w:line="276" w:lineRule="auto"/>
        <w:jc w:val="both"/>
      </w:pPr>
    </w:p>
    <w:p w14:paraId="4E103C7A" w14:textId="77777777" w:rsidR="006C78D8" w:rsidRPr="00E2351C" w:rsidRDefault="006C78D8" w:rsidP="004F69EC">
      <w:pPr>
        <w:spacing w:after="0" w:line="276" w:lineRule="auto"/>
        <w:jc w:val="both"/>
      </w:pPr>
    </w:p>
    <w:p w14:paraId="5FED0443" w14:textId="77777777" w:rsidR="006C78D8" w:rsidRPr="00E2351C" w:rsidRDefault="006C78D8" w:rsidP="004F69EC">
      <w:pPr>
        <w:spacing w:after="0" w:line="276" w:lineRule="auto"/>
        <w:jc w:val="both"/>
      </w:pPr>
    </w:p>
    <w:p w14:paraId="0471EB19" w14:textId="77777777" w:rsidR="00B246C2" w:rsidRPr="00E2351C" w:rsidRDefault="00B246C2" w:rsidP="004F69EC">
      <w:pPr>
        <w:spacing w:after="0" w:line="276" w:lineRule="auto"/>
        <w:jc w:val="both"/>
      </w:pPr>
    </w:p>
    <w:p w14:paraId="2154D216" w14:textId="77777777" w:rsidR="00B246C2" w:rsidRDefault="00B246C2" w:rsidP="004F69EC">
      <w:pPr>
        <w:spacing w:after="0" w:line="276" w:lineRule="auto"/>
        <w:jc w:val="both"/>
      </w:pPr>
    </w:p>
    <w:p w14:paraId="4E0C4BB7" w14:textId="77777777" w:rsidR="00B246C2" w:rsidRDefault="00B246C2" w:rsidP="004F69EC">
      <w:pPr>
        <w:spacing w:after="0" w:line="276" w:lineRule="auto"/>
        <w:jc w:val="both"/>
      </w:pPr>
    </w:p>
    <w:p w14:paraId="48C18E63" w14:textId="5CF21ADC" w:rsidR="00B246C2" w:rsidRPr="00067C64" w:rsidRDefault="00067C64" w:rsidP="00067C64">
      <w:pPr>
        <w:spacing w:after="0" w:line="240" w:lineRule="auto"/>
        <w:jc w:val="both"/>
        <w:rPr>
          <w:sz w:val="20"/>
        </w:rPr>
      </w:pPr>
      <w:r w:rsidRPr="00067C64">
        <w:rPr>
          <w:noProof/>
          <w:sz w:val="20"/>
          <w:lang w:eastAsia="en-GB"/>
        </w:rPr>
        <w:drawing>
          <wp:anchor distT="0" distB="0" distL="114300" distR="114300" simplePos="0" relativeHeight="251662336" behindDoc="0" locked="0" layoutInCell="1" allowOverlap="1" wp14:anchorId="738DCEB7" wp14:editId="22402E74">
            <wp:simplePos x="0" y="0"/>
            <wp:positionH relativeFrom="column">
              <wp:posOffset>0</wp:posOffset>
            </wp:positionH>
            <wp:positionV relativeFrom="paragraph">
              <wp:posOffset>-304</wp:posOffset>
            </wp:positionV>
            <wp:extent cx="835025" cy="294005"/>
            <wp:effectExtent l="0" t="0" r="3175" b="0"/>
            <wp:wrapSquare wrapText="bothSides"/>
            <wp:docPr id="4" name="Picture 4" descr="C:\Users\shashi\Google Drive\SoTL in the South technical planning\Journal workflow\Letter and article templates\Creative commons\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shi\Google Drive\SoTL in the South technical planning\Journal workflow\Letter and article templates\Creative commons\88x3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5025" cy="294005"/>
                    </a:xfrm>
                    <a:prstGeom prst="rect">
                      <a:avLst/>
                    </a:prstGeom>
                    <a:noFill/>
                    <a:ln>
                      <a:noFill/>
                    </a:ln>
                  </pic:spPr>
                </pic:pic>
              </a:graphicData>
            </a:graphic>
          </wp:anchor>
        </w:drawing>
      </w:r>
      <w:r w:rsidR="00B246C2" w:rsidRPr="00067C64">
        <w:rPr>
          <w:color w:val="7B7B7B" w:themeColor="accent3" w:themeShade="BF"/>
          <w:sz w:val="20"/>
        </w:rPr>
        <w:t xml:space="preserve">This work is licensed under the Creative Commons Attribution 4.0 International License. To view a copy of this license, visit </w:t>
      </w:r>
      <w:hyperlink r:id="rId8" w:history="1">
        <w:r w:rsidR="00B246C2" w:rsidRPr="006C78D8">
          <w:rPr>
            <w:rStyle w:val="Hyperlink"/>
            <w:sz w:val="20"/>
          </w:rPr>
          <w:t>http://creativecommons.org/licenses/by/4.0/</w:t>
        </w:r>
      </w:hyperlink>
      <w:r w:rsidR="00B246C2" w:rsidRPr="00067C64">
        <w:rPr>
          <w:color w:val="7B7B7B" w:themeColor="accent3" w:themeShade="BF"/>
          <w:sz w:val="20"/>
        </w:rPr>
        <w:t xml:space="preserve"> </w:t>
      </w:r>
    </w:p>
    <w:p w14:paraId="44803CD0" w14:textId="77777777" w:rsidR="00B246C2" w:rsidRDefault="00B246C2" w:rsidP="004F69EC">
      <w:pPr>
        <w:spacing w:after="0" w:line="276" w:lineRule="auto"/>
        <w:jc w:val="both"/>
      </w:pPr>
    </w:p>
    <w:p w14:paraId="06A9D108" w14:textId="77777777" w:rsidR="002060AE" w:rsidRPr="00C96AB6" w:rsidRDefault="00842514" w:rsidP="002C5754">
      <w:pPr>
        <w:spacing w:line="276" w:lineRule="auto"/>
        <w:jc w:val="both"/>
        <w:rPr>
          <w:rFonts w:ascii="Calibri" w:hAnsi="Calibri"/>
          <w:b/>
          <w:color w:val="404040" w:themeColor="text1" w:themeTint="BF"/>
          <w:sz w:val="24"/>
          <w:szCs w:val="28"/>
        </w:rPr>
      </w:pPr>
    </w:p>
    <w:sectPr w:rsidR="002060AE" w:rsidRPr="00C96AB6" w:rsidSect="00B2163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567" w:footer="567" w:gutter="0"/>
      <w:pgNumType w:start="11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DF754F" w14:textId="77777777" w:rsidR="00842514" w:rsidRDefault="00842514" w:rsidP="00E531E9">
      <w:pPr>
        <w:spacing w:after="0" w:line="240" w:lineRule="auto"/>
      </w:pPr>
      <w:r>
        <w:separator/>
      </w:r>
    </w:p>
  </w:endnote>
  <w:endnote w:type="continuationSeparator" w:id="0">
    <w:p w14:paraId="29247748" w14:textId="77777777" w:rsidR="00842514" w:rsidRDefault="00842514" w:rsidP="00E53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41D00" w14:textId="77777777" w:rsidR="00B2163E" w:rsidRDefault="00B216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7659894"/>
      <w:docPartObj>
        <w:docPartGallery w:val="Page Numbers (Bottom of Page)"/>
        <w:docPartUnique/>
      </w:docPartObj>
    </w:sdtPr>
    <w:sdtEndPr>
      <w:rPr>
        <w:noProof/>
      </w:rPr>
    </w:sdtEndPr>
    <w:sdtContent>
      <w:p w14:paraId="38027697" w14:textId="77777777" w:rsidR="00BF226A" w:rsidRDefault="00BF226A">
        <w:pPr>
          <w:pStyle w:val="Footer"/>
          <w:jc w:val="center"/>
        </w:pPr>
        <w:r>
          <w:fldChar w:fldCharType="begin"/>
        </w:r>
        <w:r>
          <w:instrText xml:space="preserve"> PAGE   \* MERGEFORMAT </w:instrText>
        </w:r>
        <w:r>
          <w:fldChar w:fldCharType="separate"/>
        </w:r>
        <w:r w:rsidR="007A36BE">
          <w:rPr>
            <w:noProof/>
          </w:rPr>
          <w:t>116</w:t>
        </w:r>
        <w:r>
          <w:rPr>
            <w:noProof/>
          </w:rPr>
          <w:fldChar w:fldCharType="end"/>
        </w:r>
      </w:p>
    </w:sdtContent>
  </w:sdt>
  <w:p w14:paraId="0E91391E" w14:textId="7B84BE32" w:rsidR="00E531E9" w:rsidRPr="00F46CBA" w:rsidRDefault="00E01E88" w:rsidP="00F46CBA">
    <w:pPr>
      <w:pStyle w:val="Footer"/>
      <w:rPr>
        <w:color w:val="7B7B7B" w:themeColor="accent3" w:themeShade="BF"/>
        <w:sz w:val="20"/>
      </w:rPr>
    </w:pPr>
    <w:r w:rsidRPr="00E01E88">
      <w:rPr>
        <w:noProof/>
        <w:color w:val="7B7B7B" w:themeColor="accent3" w:themeShade="BF"/>
        <w:sz w:val="20"/>
        <w:lang w:eastAsia="en-GB"/>
      </w:rPr>
      <w:drawing>
        <wp:inline distT="0" distB="0" distL="0" distR="0" wp14:anchorId="73ABA97A" wp14:editId="47664C06">
          <wp:extent cx="166370" cy="166370"/>
          <wp:effectExtent l="0" t="0" r="5080" b="5080"/>
          <wp:docPr id="5" name="Picture 5" descr="C:\Users\shashi\Google Drive\SoTL in the South technical planning\Journal workflow\Letter and article templates\Creative commons\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ashi\Google Drive\SoTL in the South technical planning\Journal workflow\Letter and article templates\Creative commons\cc.png"/>
                  <pic:cNvPicPr>
                    <a:picLocks noChangeAspect="1" noChangeArrowheads="1"/>
                  </pic:cNvPicPr>
                </pic:nvPicPr>
                <pic:blipFill>
                  <a:blip r:embed="rId1"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00BF226A">
      <w:rPr>
        <w:color w:val="7B7B7B" w:themeColor="accent3" w:themeShade="BF"/>
        <w:sz w:val="20"/>
      </w:rPr>
      <w:t xml:space="preserve"> </w:t>
    </w:r>
    <w:r w:rsidR="00BF226A" w:rsidRPr="00E01E88">
      <w:rPr>
        <w:i/>
        <w:color w:val="7B7B7B" w:themeColor="accent3" w:themeShade="BF"/>
        <w:sz w:val="20"/>
      </w:rPr>
      <w:t>SOTL in the South</w:t>
    </w:r>
    <w:r w:rsidR="00BF226A" w:rsidRPr="00CB0E47">
      <w:rPr>
        <w:color w:val="7B7B7B" w:themeColor="accent3" w:themeShade="BF"/>
        <w:sz w:val="20"/>
      </w:rPr>
      <w:t xml:space="preserve"> 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D5216" w14:textId="77777777" w:rsidR="00711EBF" w:rsidRPr="00F46CBA" w:rsidRDefault="00711EBF" w:rsidP="00711EBF">
    <w:pPr>
      <w:pStyle w:val="Footer"/>
      <w:rPr>
        <w:color w:val="7B7B7B" w:themeColor="accent3" w:themeShade="BF"/>
        <w:sz w:val="20"/>
      </w:rPr>
    </w:pPr>
    <w:r w:rsidRPr="00E01E88">
      <w:rPr>
        <w:noProof/>
        <w:color w:val="7B7B7B" w:themeColor="accent3" w:themeShade="BF"/>
        <w:sz w:val="20"/>
        <w:lang w:eastAsia="en-GB"/>
      </w:rPr>
      <w:drawing>
        <wp:inline distT="0" distB="0" distL="0" distR="0" wp14:anchorId="70B2D7C7" wp14:editId="180CE512">
          <wp:extent cx="166370" cy="166370"/>
          <wp:effectExtent l="0" t="0" r="5080" b="5080"/>
          <wp:docPr id="6" name="Picture 6" descr="C:\Users\shashi\Google Drive\SoTL in the South technical planning\Journal workflow\Letter and article templates\Creative commons\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ashi\Google Drive\SoTL in the South technical planning\Journal workflow\Letter and article templates\Creative commons\cc.png"/>
                  <pic:cNvPicPr>
                    <a:picLocks noChangeAspect="1" noChangeArrowheads="1"/>
                  </pic:cNvPicPr>
                </pic:nvPicPr>
                <pic:blipFill>
                  <a:blip r:embed="rId1"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Pr>
        <w:color w:val="7B7B7B" w:themeColor="accent3" w:themeShade="BF"/>
        <w:sz w:val="20"/>
      </w:rPr>
      <w:t xml:space="preserve"> </w:t>
    </w:r>
    <w:r w:rsidRPr="00E01E88">
      <w:rPr>
        <w:i/>
        <w:color w:val="7B7B7B" w:themeColor="accent3" w:themeShade="BF"/>
        <w:sz w:val="20"/>
      </w:rPr>
      <w:t>SOTL in the South</w:t>
    </w:r>
    <w:r w:rsidRPr="00CB0E47">
      <w:rPr>
        <w:color w:val="7B7B7B" w:themeColor="accent3" w:themeShade="BF"/>
        <w:sz w:val="20"/>
      </w:rPr>
      <w:t xml:space="preserve"> 2017</w:t>
    </w:r>
  </w:p>
  <w:p w14:paraId="3EF95739" w14:textId="0084F165" w:rsidR="007C7E58" w:rsidRPr="00711EBF" w:rsidRDefault="007C7E58" w:rsidP="00711E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E26C5A" w14:textId="77777777" w:rsidR="00842514" w:rsidRDefault="00842514" w:rsidP="00E531E9">
      <w:pPr>
        <w:spacing w:after="0" w:line="240" w:lineRule="auto"/>
      </w:pPr>
      <w:r>
        <w:separator/>
      </w:r>
    </w:p>
  </w:footnote>
  <w:footnote w:type="continuationSeparator" w:id="0">
    <w:p w14:paraId="207B14A5" w14:textId="77777777" w:rsidR="00842514" w:rsidRDefault="00842514" w:rsidP="00E531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E05041" w14:textId="77777777" w:rsidR="00B2163E" w:rsidRDefault="00B216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E98FE" w14:textId="77777777" w:rsidR="00E531E9" w:rsidRPr="00F11BDC" w:rsidRDefault="0046672E" w:rsidP="006441AC">
    <w:pPr>
      <w:pStyle w:val="Header"/>
      <w:rPr>
        <w:rFonts w:asciiTheme="majorHAnsi" w:hAnsiTheme="majorHAnsi"/>
        <w:color w:val="806000" w:themeColor="accent4" w:themeShade="80"/>
        <w:sz w:val="16"/>
      </w:rPr>
    </w:pPr>
    <w:r w:rsidRPr="00347039">
      <w:rPr>
        <w:rFonts w:ascii="Calibri Light" w:hAnsi="Calibri Light"/>
        <w:b/>
        <w:noProof/>
        <w:color w:val="BF8F00" w:themeColor="accent4" w:themeShade="BF"/>
        <w:sz w:val="16"/>
        <w:lang w:eastAsia="en-GB"/>
      </w:rPr>
      <mc:AlternateContent>
        <mc:Choice Requires="wps">
          <w:drawing>
            <wp:anchor distT="45720" distB="45720" distL="114300" distR="114300" simplePos="0" relativeHeight="251664895" behindDoc="0" locked="0" layoutInCell="1" allowOverlap="1" wp14:anchorId="47B24A53" wp14:editId="4D2ABB36">
              <wp:simplePos x="0" y="0"/>
              <wp:positionH relativeFrom="column">
                <wp:posOffset>-79016</wp:posOffset>
              </wp:positionH>
              <wp:positionV relativeFrom="page">
                <wp:posOffset>466725</wp:posOffset>
              </wp:positionV>
              <wp:extent cx="6040755" cy="359410"/>
              <wp:effectExtent l="0" t="0" r="17145" b="215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0755" cy="359410"/>
                      </a:xfrm>
                      <a:prstGeom prst="rect">
                        <a:avLst/>
                      </a:prstGeom>
                      <a:solidFill>
                        <a:srgbClr val="FFFFFF"/>
                      </a:solidFill>
                      <a:ln w="9525">
                        <a:solidFill>
                          <a:schemeClr val="bg1"/>
                        </a:solidFill>
                        <a:miter lim="800000"/>
                        <a:headEnd/>
                        <a:tailEnd/>
                      </a:ln>
                    </wps:spPr>
                    <wps:txbx>
                      <w:txbxContent>
                        <w:p w14:paraId="30936D98" w14:textId="77777777" w:rsidR="0046672E" w:rsidRPr="00F6137F" w:rsidRDefault="0046672E" w:rsidP="0046672E">
                          <w:pPr>
                            <w:pStyle w:val="Footer"/>
                            <w:rPr>
                              <w:rFonts w:ascii="Calibri Light" w:hAnsi="Calibri Light"/>
                              <w:b/>
                              <w:color w:val="7B7B7B" w:themeColor="accent3" w:themeShade="BF"/>
                              <w:sz w:val="16"/>
                            </w:rPr>
                          </w:pPr>
                          <w:r w:rsidRPr="00F6137F">
                            <w:rPr>
                              <w:i/>
                              <w:noProof/>
                              <w:color w:val="7B7B7B" w:themeColor="accent3" w:themeShade="BF"/>
                              <w:lang w:eastAsia="en-ZA"/>
                            </w:rPr>
                            <w:t>SOTL in the South</w:t>
                          </w:r>
                          <w:r w:rsidRPr="00F6137F">
                            <w:rPr>
                              <w:noProof/>
                              <w:color w:val="7B7B7B" w:themeColor="accent3" w:themeShade="BF"/>
                              <w:lang w:eastAsia="en-ZA"/>
                            </w:rPr>
                            <w:t xml:space="preserve"> </w:t>
                          </w:r>
                          <w:r w:rsidRPr="00F6137F">
                            <w:rPr>
                              <w:color w:val="7B7B7B" w:themeColor="accent3" w:themeShade="BF"/>
                            </w:rPr>
                            <w:t xml:space="preserve">1(1): September 2017                                 </w:t>
                          </w:r>
                          <w:r>
                            <w:rPr>
                              <w:color w:val="7B7B7B" w:themeColor="accent3" w:themeShade="BF"/>
                            </w:rPr>
                            <w:t xml:space="preserve">                        </w:t>
                          </w:r>
                          <w:r w:rsidR="004F69EC">
                            <w:rPr>
                              <w:color w:val="7B7B7B" w:themeColor="accent3" w:themeShade="BF"/>
                            </w:rPr>
                            <w:t xml:space="preserve">                                 </w:t>
                          </w:r>
                          <w:r w:rsidRPr="00F6137F">
                            <w:rPr>
                              <w:color w:val="7B7B7B" w:themeColor="accent3" w:themeShade="BF"/>
                            </w:rPr>
                            <w:t xml:space="preserve"> </w:t>
                          </w:r>
                          <w:r w:rsidR="004F69EC">
                            <w:rPr>
                              <w:color w:val="7B7B7B" w:themeColor="accent3" w:themeShade="BF"/>
                            </w:rPr>
                            <w:t>Simpson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B24A53" id="_x0000_t202" coordsize="21600,21600" o:spt="202" path="m,l,21600r21600,l21600,xe">
              <v:stroke joinstyle="miter"/>
              <v:path gradientshapeok="t" o:connecttype="rect"/>
            </v:shapetype>
            <v:shape id="_x0000_s1027" type="#_x0000_t202" style="position:absolute;margin-left:-6.2pt;margin-top:36.75pt;width:475.65pt;height:28.3pt;z-index:251664895;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" strokecolor="white [3212]">
              <v:textbox>
                <w:txbxContent>
                  <w:p w14:paraId="30936D98" w14:textId="77777777" w:rsidR="0046672E" w:rsidRPr="00F6137F" w:rsidRDefault="0046672E" w:rsidP="0046672E">
                    <w:pPr>
                      <w:pStyle w:val="Footer"/>
                      <w:rPr>
                        <w:rFonts w:ascii="Calibri Light" w:hAnsi="Calibri Light"/>
                        <w:b/>
                        <w:color w:val="7B7B7B" w:themeColor="accent3" w:themeShade="BF"/>
                        <w:sz w:val="16"/>
                      </w:rPr>
                    </w:pPr>
                    <w:r w:rsidRPr="00F6137F">
                      <w:rPr>
                        <w:i/>
                        <w:noProof/>
                        <w:color w:val="7B7B7B" w:themeColor="accent3" w:themeShade="BF"/>
                        <w:lang w:eastAsia="en-ZA"/>
                      </w:rPr>
                      <w:t>SOTL in the South</w:t>
                    </w:r>
                    <w:r w:rsidRPr="00F6137F">
                      <w:rPr>
                        <w:noProof/>
                        <w:color w:val="7B7B7B" w:themeColor="accent3" w:themeShade="BF"/>
                        <w:lang w:eastAsia="en-ZA"/>
                      </w:rPr>
                      <w:t xml:space="preserve"> </w:t>
                    </w:r>
                    <w:r w:rsidRPr="00F6137F">
                      <w:rPr>
                        <w:color w:val="7B7B7B" w:themeColor="accent3" w:themeShade="BF"/>
                      </w:rPr>
                      <w:t xml:space="preserve">1(1): September 2017                                 </w:t>
                    </w:r>
                    <w:r>
                      <w:rPr>
                        <w:color w:val="7B7B7B" w:themeColor="accent3" w:themeShade="BF"/>
                      </w:rPr>
                      <w:t xml:space="preserve">                        </w:t>
                    </w:r>
                    <w:r w:rsidR="004F69EC">
                      <w:rPr>
                        <w:color w:val="7B7B7B" w:themeColor="accent3" w:themeShade="BF"/>
                      </w:rPr>
                      <w:t xml:space="preserve">                                 </w:t>
                    </w:r>
                    <w:r w:rsidRPr="00F6137F">
                      <w:rPr>
                        <w:color w:val="7B7B7B" w:themeColor="accent3" w:themeShade="BF"/>
                      </w:rPr>
                      <w:t xml:space="preserve"> </w:t>
                    </w:r>
                    <w:r w:rsidR="004F69EC">
                      <w:rPr>
                        <w:color w:val="7B7B7B" w:themeColor="accent3" w:themeShade="BF"/>
                      </w:rPr>
                      <w:t>Simpson</w:t>
                    </w:r>
                  </w:p>
                </w:txbxContent>
              </v:textbox>
              <w10:wrap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93CA1" w14:textId="77777777" w:rsidR="002E7917" w:rsidRDefault="007451DF">
    <w:pPr>
      <w:pStyle w:val="Header"/>
    </w:pPr>
    <w:r w:rsidRPr="00347039">
      <w:rPr>
        <w:rFonts w:ascii="Calibri Light" w:hAnsi="Calibri Light"/>
        <w:b/>
        <w:noProof/>
        <w:color w:val="BF8F00" w:themeColor="accent4" w:themeShade="BF"/>
        <w:sz w:val="16"/>
        <w:lang w:eastAsia="en-GB"/>
      </w:rPr>
      <mc:AlternateContent>
        <mc:Choice Requires="wps">
          <w:drawing>
            <wp:anchor distT="45720" distB="45720" distL="114300" distR="114300" simplePos="0" relativeHeight="251664384" behindDoc="0" locked="0" layoutInCell="1" allowOverlap="1" wp14:anchorId="5577A536" wp14:editId="6A09F6E9">
              <wp:simplePos x="0" y="0"/>
              <wp:positionH relativeFrom="column">
                <wp:posOffset>-119380</wp:posOffset>
              </wp:positionH>
              <wp:positionV relativeFrom="page">
                <wp:posOffset>572135</wp:posOffset>
              </wp:positionV>
              <wp:extent cx="6160770" cy="1558290"/>
              <wp:effectExtent l="0" t="0" r="11430" b="22860"/>
              <wp:wrapTopAndBottom/>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0770" cy="1558290"/>
                      </a:xfrm>
                      <a:prstGeom prst="rect">
                        <a:avLst/>
                      </a:prstGeom>
                      <a:solidFill>
                        <a:srgbClr val="FFFFFF"/>
                      </a:solidFill>
                      <a:ln w="9525">
                        <a:solidFill>
                          <a:schemeClr val="bg1"/>
                        </a:solidFill>
                        <a:miter lim="800000"/>
                        <a:headEnd/>
                        <a:tailEnd/>
                      </a:ln>
                    </wps:spPr>
                    <wps:txbx>
                      <w:txbxContent>
                        <w:p w14:paraId="7126402F" w14:textId="77777777" w:rsidR="00043F52" w:rsidRDefault="00043F52" w:rsidP="007451DF">
                          <w:pPr>
                            <w:pStyle w:val="Footer"/>
                            <w:rPr>
                              <w:rFonts w:ascii="Calibri Light" w:hAnsi="Calibri Light"/>
                              <w:color w:val="BF8F00" w:themeColor="accent4" w:themeShade="BF"/>
                            </w:rPr>
                          </w:pPr>
                          <w:r>
                            <w:rPr>
                              <w:noProof/>
                              <w:lang w:eastAsia="en-GB"/>
                            </w:rPr>
                            <w:drawing>
                              <wp:inline distT="0" distB="0" distL="0" distR="0" wp14:anchorId="0672955A" wp14:editId="74D85A76">
                                <wp:extent cx="1285364" cy="782320"/>
                                <wp:effectExtent l="0" t="0" r="0" b="0"/>
                                <wp:docPr id="20" name="Picture 20" descr="C:\Users\shashi\Google Drive\SoTL in the South technical planning\SoTLitS website\Website and journal planning\just SoTLitS logo.png"/>
                                <wp:cNvGraphicFramePr/>
                                <a:graphic xmlns:a="http://schemas.openxmlformats.org/drawingml/2006/main">
                                  <a:graphicData uri="http://schemas.openxmlformats.org/drawingml/2006/picture">
                                    <pic:pic xmlns:pic="http://schemas.openxmlformats.org/drawingml/2006/picture">
                                      <pic:nvPicPr>
                                        <pic:cNvPr id="3" name="Picture 3" descr="C:\Users\shashi\Google Drive\SoTL in the South technical planning\SoTLitS website\Website and journal planning\just SoTLitS logo.png"/>
                                        <pic:cNvPicPr/>
                                      </pic:nvPicPr>
                                      <pic:blipFill rotWithShape="1">
                                        <a:blip r:embed="rId1" cstate="print">
                                          <a:extLst>
                                            <a:ext uri="{28A0092B-C50C-407E-A947-70E740481C1C}">
                                              <a14:useLocalDpi xmlns:a14="http://schemas.microsoft.com/office/drawing/2010/main" val="0"/>
                                            </a:ext>
                                          </a:extLst>
                                        </a:blip>
                                        <a:srcRect l="6669" t="10390" r="6589" b="13613"/>
                                        <a:stretch/>
                                      </pic:blipFill>
                                      <pic:spPr bwMode="auto">
                                        <a:xfrm>
                                          <a:off x="0" y="0"/>
                                          <a:ext cx="1286247" cy="782857"/>
                                        </a:xfrm>
                                        <a:prstGeom prst="rect">
                                          <a:avLst/>
                                        </a:prstGeom>
                                        <a:noFill/>
                                        <a:ln>
                                          <a:noFill/>
                                        </a:ln>
                                        <a:extLst>
                                          <a:ext uri="{53640926-AAD7-44D8-BBD7-CCE9431645EC}">
                                            <a14:shadowObscured xmlns:a14="http://schemas.microsoft.com/office/drawing/2010/main"/>
                                          </a:ext>
                                        </a:extLst>
                                      </pic:spPr>
                                    </pic:pic>
                                  </a:graphicData>
                                </a:graphic>
                              </wp:inline>
                            </w:drawing>
                          </w:r>
                        </w:p>
                        <w:p w14:paraId="637950F8" w14:textId="77777777" w:rsidR="007451DF" w:rsidRPr="007451DF" w:rsidRDefault="007451DF" w:rsidP="007451DF">
                          <w:pPr>
                            <w:pStyle w:val="Footer"/>
                            <w:rPr>
                              <w:rFonts w:ascii="Calibri Light" w:hAnsi="Calibri Light"/>
                              <w:color w:val="BF8F00" w:themeColor="accent4" w:themeShade="BF"/>
                            </w:rPr>
                          </w:pPr>
                        </w:p>
                        <w:p w14:paraId="40242AB6" w14:textId="77777777" w:rsidR="00043F52" w:rsidRPr="00DD556A" w:rsidRDefault="007451DF" w:rsidP="00043F52">
                          <w:pPr>
                            <w:rPr>
                              <w:rFonts w:asciiTheme="majorHAnsi" w:hAnsiTheme="majorHAnsi"/>
                              <w:b/>
                              <w:color w:val="BF8F00" w:themeColor="accent4" w:themeShade="BF"/>
                            </w:rPr>
                          </w:pPr>
                          <w:r w:rsidRPr="00DD556A">
                            <w:rPr>
                              <w:color w:val="BF8F00" w:themeColor="accent4" w:themeShade="BF"/>
                            </w:rPr>
                            <w:t xml:space="preserve"> </w:t>
                          </w:r>
                          <w:r w:rsidR="00043F52" w:rsidRPr="00DD556A">
                            <w:rPr>
                              <w:rFonts w:asciiTheme="majorHAnsi" w:hAnsiTheme="majorHAnsi"/>
                              <w:b/>
                              <w:color w:val="BF8F00" w:themeColor="accent4" w:themeShade="BF"/>
                            </w:rPr>
                            <w:t>Volume 1, Issue 1                                                                                                                      September 2017</w:t>
                          </w:r>
                        </w:p>
                        <w:p w14:paraId="4687622E" w14:textId="69F52AEB" w:rsidR="005D20EE" w:rsidRPr="00DD556A" w:rsidRDefault="005D20EE" w:rsidP="00043F52">
                          <w:pPr>
                            <w:rPr>
                              <w:rFonts w:asciiTheme="majorHAnsi" w:hAnsiTheme="majorHAnsi"/>
                              <w:color w:val="BF8F00" w:themeColor="accent4" w:themeShade="BF"/>
                            </w:rPr>
                          </w:pPr>
                          <w:r w:rsidRPr="00DD556A">
                            <w:rPr>
                              <w:rFonts w:asciiTheme="majorHAnsi" w:hAnsiTheme="majorHAnsi"/>
                              <w:color w:val="BF8F00" w:themeColor="accent4" w:themeShade="BF"/>
                            </w:rPr>
                            <w:t xml:space="preserve"> Pages: </w:t>
                          </w:r>
                          <w:r w:rsidR="00B2163E">
                            <w:rPr>
                              <w:rFonts w:asciiTheme="majorHAnsi" w:hAnsiTheme="majorHAnsi"/>
                              <w:color w:val="BF8F00" w:themeColor="accent4" w:themeShade="BF"/>
                            </w:rPr>
                            <w:t>114-116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77A536" id="_x0000_t202" coordsize="21600,21600" o:spt="202" path="m,l,21600r21600,l21600,xe">
              <v:stroke joinstyle="miter"/>
              <v:path gradientshapeok="t" o:connecttype="rect"/>
            </v:shapetype>
            <v:shape id="_x0000_s1028" type="#_x0000_t202" style="position:absolute;margin-left:-9.4pt;margin-top:45.05pt;width:485.1pt;height:122.7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" strokecolor="white [3212]">
              <v:textbox>
                <w:txbxContent>
                  <w:p w14:paraId="7126402F" w14:textId="77777777" w:rsidR="00043F52" w:rsidRDefault="00043F52" w:rsidP="007451DF">
                    <w:pPr>
                      <w:pStyle w:val="Footer"/>
                      <w:rPr>
                        <w:rFonts w:ascii="Calibri Light" w:hAnsi="Calibri Light"/>
                        <w:color w:val="BF8F00" w:themeColor="accent4" w:themeShade="BF"/>
                      </w:rPr>
                    </w:pPr>
                    <w:r>
                      <w:rPr>
                        <w:noProof/>
                        <w:lang w:eastAsia="en-GB"/>
                      </w:rPr>
                      <w:drawing>
                        <wp:inline distT="0" distB="0" distL="0" distR="0" wp14:anchorId="0672955A" wp14:editId="74D85A76">
                          <wp:extent cx="1285364" cy="782320"/>
                          <wp:effectExtent l="0" t="0" r="0" b="0"/>
                          <wp:docPr id="20" name="Picture 20" descr="C:\Users\shashi\Google Drive\SoTL in the South technical planning\SoTLitS website\Website and journal planning\just SoTLitS logo.png"/>
                          <wp:cNvGraphicFramePr/>
                          <a:graphic xmlns:a="http://schemas.openxmlformats.org/drawingml/2006/main">
                            <a:graphicData uri="http://schemas.openxmlformats.org/drawingml/2006/picture">
                              <pic:pic xmlns:pic="http://schemas.openxmlformats.org/drawingml/2006/picture">
                                <pic:nvPicPr>
                                  <pic:cNvPr id="3" name="Picture 3" descr="C:\Users\shashi\Google Drive\SoTL in the South technical planning\SoTLitS website\Website and journal planning\just SoTLitS logo.png"/>
                                  <pic:cNvPicPr/>
                                </pic:nvPicPr>
                                <pic:blipFill rotWithShape="1">
                                  <a:blip r:embed="rId2" cstate="print">
                                    <a:extLst>
                                      <a:ext uri="{28A0092B-C50C-407E-A947-70E740481C1C}">
                                        <a14:useLocalDpi xmlns:a14="http://schemas.microsoft.com/office/drawing/2010/main" val="0"/>
                                      </a:ext>
                                    </a:extLst>
                                  </a:blip>
                                  <a:srcRect l="6669" t="10390" r="6589" b="13613"/>
                                  <a:stretch/>
                                </pic:blipFill>
                                <pic:spPr bwMode="auto">
                                  <a:xfrm>
                                    <a:off x="0" y="0"/>
                                    <a:ext cx="1286247" cy="782857"/>
                                  </a:xfrm>
                                  <a:prstGeom prst="rect">
                                    <a:avLst/>
                                  </a:prstGeom>
                                  <a:noFill/>
                                  <a:ln>
                                    <a:noFill/>
                                  </a:ln>
                                  <a:extLst>
                                    <a:ext uri="{53640926-AAD7-44D8-BBD7-CCE9431645EC}">
                                      <a14:shadowObscured xmlns:a14="http://schemas.microsoft.com/office/drawing/2010/main"/>
                                    </a:ext>
                                  </a:extLst>
                                </pic:spPr>
                              </pic:pic>
                            </a:graphicData>
                          </a:graphic>
                        </wp:inline>
                      </w:drawing>
                    </w:r>
                  </w:p>
                  <w:p w14:paraId="637950F8" w14:textId="77777777" w:rsidR="007451DF" w:rsidRPr="007451DF" w:rsidRDefault="007451DF" w:rsidP="007451DF">
                    <w:pPr>
                      <w:pStyle w:val="Footer"/>
                      <w:rPr>
                        <w:rFonts w:ascii="Calibri Light" w:hAnsi="Calibri Light"/>
                        <w:color w:val="BF8F00" w:themeColor="accent4" w:themeShade="BF"/>
                      </w:rPr>
                    </w:pPr>
                  </w:p>
                  <w:p w14:paraId="40242AB6" w14:textId="77777777" w:rsidR="00043F52" w:rsidRPr="00DD556A" w:rsidRDefault="007451DF" w:rsidP="00043F52">
                    <w:pPr>
                      <w:rPr>
                        <w:rFonts w:asciiTheme="majorHAnsi" w:hAnsiTheme="majorHAnsi"/>
                        <w:b/>
                        <w:color w:val="BF8F00" w:themeColor="accent4" w:themeShade="BF"/>
                      </w:rPr>
                    </w:pPr>
                    <w:r w:rsidRPr="00DD556A">
                      <w:rPr>
                        <w:color w:val="BF8F00" w:themeColor="accent4" w:themeShade="BF"/>
                      </w:rPr>
                      <w:t xml:space="preserve"> </w:t>
                    </w:r>
                    <w:r w:rsidR="00043F52" w:rsidRPr="00DD556A">
                      <w:rPr>
                        <w:rFonts w:asciiTheme="majorHAnsi" w:hAnsiTheme="majorHAnsi"/>
                        <w:b/>
                        <w:color w:val="BF8F00" w:themeColor="accent4" w:themeShade="BF"/>
                      </w:rPr>
                      <w:t>Volume 1, Issue 1                                                                                                                      September 2017</w:t>
                    </w:r>
                  </w:p>
                  <w:p w14:paraId="4687622E" w14:textId="69F52AEB" w:rsidR="005D20EE" w:rsidRPr="00DD556A" w:rsidRDefault="005D20EE" w:rsidP="00043F52">
                    <w:pPr>
                      <w:rPr>
                        <w:rFonts w:asciiTheme="majorHAnsi" w:hAnsiTheme="majorHAnsi"/>
                        <w:color w:val="BF8F00" w:themeColor="accent4" w:themeShade="BF"/>
                      </w:rPr>
                    </w:pPr>
                    <w:r w:rsidRPr="00DD556A">
                      <w:rPr>
                        <w:rFonts w:asciiTheme="majorHAnsi" w:hAnsiTheme="majorHAnsi"/>
                        <w:color w:val="BF8F00" w:themeColor="accent4" w:themeShade="BF"/>
                      </w:rPr>
                      <w:t xml:space="preserve"> Pages: </w:t>
                    </w:r>
                    <w:r w:rsidR="00B2163E">
                      <w:rPr>
                        <w:rFonts w:asciiTheme="majorHAnsi" w:hAnsiTheme="majorHAnsi"/>
                        <w:color w:val="BF8F00" w:themeColor="accent4" w:themeShade="BF"/>
                      </w:rPr>
                      <w:t>114-116</w:t>
                    </w:r>
                  </w:p>
                </w:txbxContent>
              </v:textbox>
              <w10:wrap type="topAndBottom" anchory="page"/>
            </v:shape>
          </w:pict>
        </mc:Fallback>
      </mc:AlternateContent>
    </w:r>
    <w:r>
      <w:rPr>
        <w:rFonts w:ascii="Calibri Light" w:hAnsi="Calibri Light"/>
        <w:b/>
        <w:noProof/>
        <w:color w:val="BF8F00" w:themeColor="accent4" w:themeShade="BF"/>
        <w:sz w:val="16"/>
        <w:lang w:eastAsia="en-GB"/>
      </w:rPr>
      <mc:AlternateContent>
        <mc:Choice Requires="wps">
          <w:drawing>
            <wp:anchor distT="0" distB="0" distL="114300" distR="114300" simplePos="0" relativeHeight="251665408" behindDoc="0" locked="0" layoutInCell="1" allowOverlap="1" wp14:anchorId="1B5230DF" wp14:editId="3B29A7E4">
              <wp:simplePos x="0" y="0"/>
              <wp:positionH relativeFrom="column">
                <wp:posOffset>1293495</wp:posOffset>
              </wp:positionH>
              <wp:positionV relativeFrom="paragraph">
                <wp:posOffset>748895</wp:posOffset>
              </wp:positionV>
              <wp:extent cx="4639661" cy="252730"/>
              <wp:effectExtent l="0" t="0" r="27940" b="13970"/>
              <wp:wrapNone/>
              <wp:docPr id="1" name="Text Box 1"/>
              <wp:cNvGraphicFramePr/>
              <a:graphic xmlns:a="http://schemas.openxmlformats.org/drawingml/2006/main">
                <a:graphicData uri="http://schemas.microsoft.com/office/word/2010/wordprocessingShape">
                  <wps:wsp>
                    <wps:cNvSpPr txBox="1"/>
                    <wps:spPr>
                      <a:xfrm>
                        <a:off x="0" y="0"/>
                        <a:ext cx="4639661" cy="25273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31094E9" w14:textId="77777777" w:rsidR="00B03103" w:rsidRPr="00B03103" w:rsidRDefault="00B03103">
                          <w:pPr>
                            <w:rPr>
                              <w:color w:val="BF8F00" w:themeColor="accent4" w:themeShade="BF"/>
                              <w:sz w:val="20"/>
                            </w:rPr>
                          </w:pPr>
                          <w:r w:rsidRPr="00B03103">
                            <w:rPr>
                              <w:color w:val="BF8F00" w:themeColor="accent4" w:themeShade="BF"/>
                              <w:sz w:val="20"/>
                            </w:rPr>
                            <w:t>A journal dedicated to the scholarship of teach</w:t>
                          </w:r>
                          <w:r w:rsidR="007451DF">
                            <w:rPr>
                              <w:color w:val="BF8F00" w:themeColor="accent4" w:themeShade="BF"/>
                              <w:sz w:val="20"/>
                            </w:rPr>
                            <w:t>ing and learning in the ‘global s</w:t>
                          </w:r>
                          <w:r w:rsidRPr="00B03103">
                            <w:rPr>
                              <w:color w:val="BF8F00" w:themeColor="accent4" w:themeShade="BF"/>
                              <w:sz w:val="20"/>
                            </w:rPr>
                            <w:t>outh</w:t>
                          </w:r>
                          <w:r w:rsidR="007451DF">
                            <w:rPr>
                              <w:color w:val="BF8F00" w:themeColor="accent4" w:themeShade="B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5230DF" id="Text Box 1" o:spid="_x0000_s1029" type="#_x0000_t202" style="position:absolute;margin-left:101.85pt;margin-top:58.95pt;width:365.35pt;height:19.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" fillcolor="white [3201]" strokecolor="white [3212]" strokeweight=".5pt">
              <v:textbox>
                <w:txbxContent>
                  <w:p w14:paraId="531094E9" w14:textId="77777777" w:rsidR="00B03103" w:rsidRPr="00B03103" w:rsidRDefault="00B03103">
                    <w:pPr>
                      <w:rPr>
                        <w:color w:val="BF8F00" w:themeColor="accent4" w:themeShade="BF"/>
                        <w:sz w:val="20"/>
                      </w:rPr>
                    </w:pPr>
                    <w:r w:rsidRPr="00B03103">
                      <w:rPr>
                        <w:color w:val="BF8F00" w:themeColor="accent4" w:themeShade="BF"/>
                        <w:sz w:val="20"/>
                      </w:rPr>
                      <w:t>A journal dedicated to the scholarship of teach</w:t>
                    </w:r>
                    <w:r w:rsidR="007451DF">
                      <w:rPr>
                        <w:color w:val="BF8F00" w:themeColor="accent4" w:themeShade="BF"/>
                        <w:sz w:val="20"/>
                      </w:rPr>
                      <w:t>ing and learning in the ‘global s</w:t>
                    </w:r>
                    <w:r w:rsidRPr="00B03103">
                      <w:rPr>
                        <w:color w:val="BF8F00" w:themeColor="accent4" w:themeShade="BF"/>
                        <w:sz w:val="20"/>
                      </w:rPr>
                      <w:t>outh</w:t>
                    </w:r>
                    <w:r w:rsidR="007451DF">
                      <w:rPr>
                        <w:color w:val="BF8F00" w:themeColor="accent4" w:themeShade="BF"/>
                        <w:sz w:val="20"/>
                      </w:rPr>
                      <w:t>’</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1E9"/>
    <w:rsid w:val="00024E11"/>
    <w:rsid w:val="00043F52"/>
    <w:rsid w:val="00050277"/>
    <w:rsid w:val="000606CE"/>
    <w:rsid w:val="00067C64"/>
    <w:rsid w:val="000735A0"/>
    <w:rsid w:val="0007728C"/>
    <w:rsid w:val="000A28B8"/>
    <w:rsid w:val="000B6199"/>
    <w:rsid w:val="000C53B0"/>
    <w:rsid w:val="000F33CC"/>
    <w:rsid w:val="000F7D63"/>
    <w:rsid w:val="0014550B"/>
    <w:rsid w:val="00146A4E"/>
    <w:rsid w:val="00150388"/>
    <w:rsid w:val="0016488B"/>
    <w:rsid w:val="001809DC"/>
    <w:rsid w:val="0019255B"/>
    <w:rsid w:val="00196BB9"/>
    <w:rsid w:val="0019729C"/>
    <w:rsid w:val="001A1900"/>
    <w:rsid w:val="001A3A10"/>
    <w:rsid w:val="001B77F1"/>
    <w:rsid w:val="001D5952"/>
    <w:rsid w:val="00205E99"/>
    <w:rsid w:val="00225E70"/>
    <w:rsid w:val="00245EE7"/>
    <w:rsid w:val="002540D0"/>
    <w:rsid w:val="00290516"/>
    <w:rsid w:val="002B10CD"/>
    <w:rsid w:val="002C3508"/>
    <w:rsid w:val="002C5754"/>
    <w:rsid w:val="002D532A"/>
    <w:rsid w:val="002E3B32"/>
    <w:rsid w:val="002E7917"/>
    <w:rsid w:val="002F6977"/>
    <w:rsid w:val="00307A90"/>
    <w:rsid w:val="00337EA4"/>
    <w:rsid w:val="00347039"/>
    <w:rsid w:val="003515F2"/>
    <w:rsid w:val="004041C0"/>
    <w:rsid w:val="00415DCD"/>
    <w:rsid w:val="00431C45"/>
    <w:rsid w:val="00433752"/>
    <w:rsid w:val="0046030E"/>
    <w:rsid w:val="0046672E"/>
    <w:rsid w:val="00483B16"/>
    <w:rsid w:val="004D445E"/>
    <w:rsid w:val="004D6E8C"/>
    <w:rsid w:val="004F69EC"/>
    <w:rsid w:val="00503EDC"/>
    <w:rsid w:val="00505405"/>
    <w:rsid w:val="00510860"/>
    <w:rsid w:val="00562948"/>
    <w:rsid w:val="005D20EE"/>
    <w:rsid w:val="005D2766"/>
    <w:rsid w:val="005D7EE6"/>
    <w:rsid w:val="005E765E"/>
    <w:rsid w:val="005F66E4"/>
    <w:rsid w:val="005F702D"/>
    <w:rsid w:val="00600E31"/>
    <w:rsid w:val="006441AC"/>
    <w:rsid w:val="0066535A"/>
    <w:rsid w:val="006660B6"/>
    <w:rsid w:val="00670961"/>
    <w:rsid w:val="006830F5"/>
    <w:rsid w:val="006C78D8"/>
    <w:rsid w:val="006D153F"/>
    <w:rsid w:val="006D426A"/>
    <w:rsid w:val="00711EBF"/>
    <w:rsid w:val="007451DF"/>
    <w:rsid w:val="007476F2"/>
    <w:rsid w:val="00747F6B"/>
    <w:rsid w:val="00762E44"/>
    <w:rsid w:val="00781B5A"/>
    <w:rsid w:val="007919F7"/>
    <w:rsid w:val="007A17C3"/>
    <w:rsid w:val="007A36BE"/>
    <w:rsid w:val="007B5617"/>
    <w:rsid w:val="007C7E58"/>
    <w:rsid w:val="007D71EA"/>
    <w:rsid w:val="007E12B4"/>
    <w:rsid w:val="007F73C9"/>
    <w:rsid w:val="008178FD"/>
    <w:rsid w:val="00842514"/>
    <w:rsid w:val="0087479E"/>
    <w:rsid w:val="00895301"/>
    <w:rsid w:val="008968CF"/>
    <w:rsid w:val="008D4669"/>
    <w:rsid w:val="0090253B"/>
    <w:rsid w:val="00931EA9"/>
    <w:rsid w:val="00971F22"/>
    <w:rsid w:val="00986D1A"/>
    <w:rsid w:val="009A3D07"/>
    <w:rsid w:val="009B4A6B"/>
    <w:rsid w:val="009B728B"/>
    <w:rsid w:val="009D1FD1"/>
    <w:rsid w:val="009F2CCA"/>
    <w:rsid w:val="009F6A7C"/>
    <w:rsid w:val="00A34B1B"/>
    <w:rsid w:val="00A3627A"/>
    <w:rsid w:val="00A6200F"/>
    <w:rsid w:val="00A80EED"/>
    <w:rsid w:val="00AD4EBE"/>
    <w:rsid w:val="00AE39A5"/>
    <w:rsid w:val="00B03103"/>
    <w:rsid w:val="00B06E7C"/>
    <w:rsid w:val="00B176CC"/>
    <w:rsid w:val="00B2163E"/>
    <w:rsid w:val="00B246C2"/>
    <w:rsid w:val="00B52DBA"/>
    <w:rsid w:val="00B6129C"/>
    <w:rsid w:val="00B730B6"/>
    <w:rsid w:val="00B76342"/>
    <w:rsid w:val="00B91A65"/>
    <w:rsid w:val="00BA018A"/>
    <w:rsid w:val="00BA485A"/>
    <w:rsid w:val="00BC2CA3"/>
    <w:rsid w:val="00BD25C0"/>
    <w:rsid w:val="00BD3E5C"/>
    <w:rsid w:val="00BE2E04"/>
    <w:rsid w:val="00BF02D8"/>
    <w:rsid w:val="00BF226A"/>
    <w:rsid w:val="00BF5CE1"/>
    <w:rsid w:val="00BF5E1C"/>
    <w:rsid w:val="00C00C5B"/>
    <w:rsid w:val="00C314E7"/>
    <w:rsid w:val="00C33A2E"/>
    <w:rsid w:val="00C446B9"/>
    <w:rsid w:val="00C4794F"/>
    <w:rsid w:val="00C60A47"/>
    <w:rsid w:val="00C969BE"/>
    <w:rsid w:val="00C96AB6"/>
    <w:rsid w:val="00CB0E47"/>
    <w:rsid w:val="00CB4A82"/>
    <w:rsid w:val="00D03B76"/>
    <w:rsid w:val="00D10220"/>
    <w:rsid w:val="00D612A6"/>
    <w:rsid w:val="00D72AAE"/>
    <w:rsid w:val="00D8755A"/>
    <w:rsid w:val="00DD556A"/>
    <w:rsid w:val="00DE43D9"/>
    <w:rsid w:val="00DF20EA"/>
    <w:rsid w:val="00E01E88"/>
    <w:rsid w:val="00E032FF"/>
    <w:rsid w:val="00E052C4"/>
    <w:rsid w:val="00E2351C"/>
    <w:rsid w:val="00E272DE"/>
    <w:rsid w:val="00E531E9"/>
    <w:rsid w:val="00E55A88"/>
    <w:rsid w:val="00E600D4"/>
    <w:rsid w:val="00E62AD4"/>
    <w:rsid w:val="00E6400C"/>
    <w:rsid w:val="00E641AD"/>
    <w:rsid w:val="00E678DD"/>
    <w:rsid w:val="00E90A51"/>
    <w:rsid w:val="00E9378B"/>
    <w:rsid w:val="00ED41AB"/>
    <w:rsid w:val="00EF45E4"/>
    <w:rsid w:val="00EF6FA2"/>
    <w:rsid w:val="00F11BDC"/>
    <w:rsid w:val="00F46CBA"/>
    <w:rsid w:val="00F546FE"/>
    <w:rsid w:val="00F6137F"/>
    <w:rsid w:val="00F77DC0"/>
    <w:rsid w:val="00FF64E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13469F"/>
  <w15:chartTrackingRefBased/>
  <w15:docId w15:val="{E4EAEFC3-CA4A-4C9A-AADB-777EE052D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link w:val="Heading1Char"/>
    <w:uiPriority w:val="9"/>
    <w:qFormat/>
    <w:rsid w:val="007F73C9"/>
    <w:pPr>
      <w:spacing w:before="100" w:beforeAutospacing="1" w:after="100" w:afterAutospacing="1" w:line="240" w:lineRule="auto"/>
      <w:outlineLvl w:val="0"/>
    </w:pPr>
    <w:rPr>
      <w:rFonts w:ascii="Times" w:eastAsia="Times New Roman"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31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31E9"/>
  </w:style>
  <w:style w:type="paragraph" w:styleId="Footer">
    <w:name w:val="footer"/>
    <w:basedOn w:val="Normal"/>
    <w:link w:val="FooterChar"/>
    <w:uiPriority w:val="99"/>
    <w:unhideWhenUsed/>
    <w:rsid w:val="00E531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31E9"/>
  </w:style>
  <w:style w:type="character" w:styleId="Hyperlink">
    <w:name w:val="Hyperlink"/>
    <w:basedOn w:val="DefaultParagraphFont"/>
    <w:uiPriority w:val="99"/>
    <w:unhideWhenUsed/>
    <w:rsid w:val="006441AC"/>
    <w:rPr>
      <w:color w:val="0563C1" w:themeColor="hyperlink"/>
      <w:u w:val="single"/>
    </w:rPr>
  </w:style>
  <w:style w:type="paragraph" w:styleId="NormalWeb">
    <w:name w:val="Normal (Web)"/>
    <w:basedOn w:val="Normal"/>
    <w:uiPriority w:val="99"/>
    <w:semiHidden/>
    <w:unhideWhenUsed/>
    <w:rsid w:val="0016488B"/>
    <w:pPr>
      <w:spacing w:before="100" w:beforeAutospacing="1" w:after="100" w:afterAutospacing="1" w:line="240" w:lineRule="auto"/>
    </w:pPr>
    <w:rPr>
      <w:rFonts w:ascii="Times" w:hAnsi="Times" w:cs="Times New Roman"/>
      <w:sz w:val="20"/>
      <w:szCs w:val="20"/>
    </w:rPr>
  </w:style>
  <w:style w:type="paragraph" w:styleId="CommentText">
    <w:name w:val="annotation text"/>
    <w:basedOn w:val="Normal"/>
    <w:link w:val="CommentTextChar"/>
    <w:uiPriority w:val="99"/>
    <w:semiHidden/>
    <w:unhideWhenUsed/>
    <w:rsid w:val="0016488B"/>
    <w:pPr>
      <w:spacing w:after="0" w:line="240" w:lineRule="auto"/>
    </w:pPr>
    <w:rPr>
      <w:rFonts w:eastAsiaTheme="minorEastAsia"/>
      <w:sz w:val="24"/>
      <w:szCs w:val="24"/>
      <w:lang w:val="en-US" w:eastAsia="ja-JP"/>
    </w:rPr>
  </w:style>
  <w:style w:type="character" w:customStyle="1" w:styleId="CommentTextChar">
    <w:name w:val="Comment Text Char"/>
    <w:basedOn w:val="DefaultParagraphFont"/>
    <w:link w:val="CommentText"/>
    <w:uiPriority w:val="99"/>
    <w:semiHidden/>
    <w:rsid w:val="0016488B"/>
    <w:rPr>
      <w:rFonts w:eastAsiaTheme="minorEastAsia"/>
      <w:sz w:val="24"/>
      <w:szCs w:val="24"/>
      <w:lang w:val="en-US" w:eastAsia="ja-JP"/>
    </w:rPr>
  </w:style>
  <w:style w:type="character" w:customStyle="1" w:styleId="Heading1Char">
    <w:name w:val="Heading 1 Char"/>
    <w:basedOn w:val="DefaultParagraphFont"/>
    <w:link w:val="Heading1"/>
    <w:uiPriority w:val="9"/>
    <w:rsid w:val="007F73C9"/>
    <w:rPr>
      <w:rFonts w:ascii="Times" w:eastAsia="Times New Roman" w:hAnsi="Times"/>
      <w:b/>
      <w:bCs/>
      <w:kern w:val="36"/>
      <w:sz w:val="48"/>
      <w:szCs w:val="48"/>
    </w:rPr>
  </w:style>
  <w:style w:type="paragraph" w:styleId="EndnoteText">
    <w:name w:val="endnote text"/>
    <w:basedOn w:val="Normal"/>
    <w:link w:val="EndnoteTextChar"/>
    <w:uiPriority w:val="99"/>
    <w:semiHidden/>
    <w:unhideWhenUsed/>
    <w:rsid w:val="007F73C9"/>
    <w:pPr>
      <w:spacing w:after="0" w:line="240" w:lineRule="auto"/>
    </w:pPr>
    <w:rPr>
      <w:rFonts w:ascii="Arial" w:hAnsi="Arial"/>
      <w:sz w:val="24"/>
      <w:szCs w:val="24"/>
    </w:rPr>
  </w:style>
  <w:style w:type="character" w:customStyle="1" w:styleId="EndnoteTextChar">
    <w:name w:val="Endnote Text Char"/>
    <w:basedOn w:val="DefaultParagraphFont"/>
    <w:link w:val="EndnoteText"/>
    <w:uiPriority w:val="99"/>
    <w:semiHidden/>
    <w:rsid w:val="007F73C9"/>
    <w:rPr>
      <w:rFonts w:ascii="Arial" w:hAnsi="Arial"/>
      <w:sz w:val="24"/>
      <w:szCs w:val="24"/>
    </w:rPr>
  </w:style>
  <w:style w:type="character" w:styleId="Strong">
    <w:name w:val="Strong"/>
    <w:basedOn w:val="DefaultParagraphFont"/>
    <w:uiPriority w:val="22"/>
    <w:qFormat/>
    <w:rsid w:val="007F73C9"/>
    <w:rPr>
      <w:b/>
      <w:bCs/>
    </w:rPr>
  </w:style>
  <w:style w:type="table" w:styleId="TableGrid">
    <w:name w:val="Table Grid"/>
    <w:basedOn w:val="TableNormal"/>
    <w:uiPriority w:val="39"/>
    <w:rsid w:val="00745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E39A5"/>
    <w:rPr>
      <w:sz w:val="16"/>
      <w:szCs w:val="16"/>
    </w:rPr>
  </w:style>
  <w:style w:type="paragraph" w:styleId="CommentSubject">
    <w:name w:val="annotation subject"/>
    <w:basedOn w:val="CommentText"/>
    <w:next w:val="CommentText"/>
    <w:link w:val="CommentSubjectChar"/>
    <w:uiPriority w:val="99"/>
    <w:semiHidden/>
    <w:unhideWhenUsed/>
    <w:rsid w:val="00AE39A5"/>
    <w:pPr>
      <w:spacing w:after="160"/>
    </w:pPr>
    <w:rPr>
      <w:rFonts w:eastAsiaTheme="minorHAnsi"/>
      <w:b/>
      <w:bCs/>
      <w:sz w:val="20"/>
      <w:szCs w:val="20"/>
      <w:lang w:val="en-ZA" w:eastAsia="en-US"/>
    </w:rPr>
  </w:style>
  <w:style w:type="character" w:customStyle="1" w:styleId="CommentSubjectChar">
    <w:name w:val="Comment Subject Char"/>
    <w:basedOn w:val="CommentTextChar"/>
    <w:link w:val="CommentSubject"/>
    <w:uiPriority w:val="99"/>
    <w:semiHidden/>
    <w:rsid w:val="00AE39A5"/>
    <w:rPr>
      <w:rFonts w:eastAsiaTheme="minorEastAsia"/>
      <w:b/>
      <w:bCs/>
      <w:sz w:val="20"/>
      <w:szCs w:val="20"/>
      <w:lang w:val="en-US" w:eastAsia="ja-JP"/>
    </w:rPr>
  </w:style>
  <w:style w:type="paragraph" w:styleId="BalloonText">
    <w:name w:val="Balloon Text"/>
    <w:basedOn w:val="Normal"/>
    <w:link w:val="BalloonTextChar"/>
    <w:uiPriority w:val="99"/>
    <w:semiHidden/>
    <w:unhideWhenUsed/>
    <w:rsid w:val="00AE39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39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472334">
      <w:bodyDiv w:val="1"/>
      <w:marLeft w:val="0"/>
      <w:marRight w:val="0"/>
      <w:marTop w:val="0"/>
      <w:marBottom w:val="0"/>
      <w:divBdr>
        <w:top w:val="none" w:sz="0" w:space="0" w:color="auto"/>
        <w:left w:val="none" w:sz="0" w:space="0" w:color="auto"/>
        <w:bottom w:val="none" w:sz="0" w:space="0" w:color="auto"/>
        <w:right w:val="none" w:sz="0" w:space="0" w:color="auto"/>
      </w:divBdr>
    </w:div>
    <w:div w:id="493031502">
      <w:bodyDiv w:val="1"/>
      <w:marLeft w:val="0"/>
      <w:marRight w:val="0"/>
      <w:marTop w:val="0"/>
      <w:marBottom w:val="0"/>
      <w:divBdr>
        <w:top w:val="none" w:sz="0" w:space="0" w:color="auto"/>
        <w:left w:val="none" w:sz="0" w:space="0" w:color="auto"/>
        <w:bottom w:val="none" w:sz="0" w:space="0" w:color="auto"/>
        <w:right w:val="none" w:sz="0" w:space="0" w:color="auto"/>
      </w:divBdr>
    </w:div>
    <w:div w:id="642658219">
      <w:bodyDiv w:val="1"/>
      <w:marLeft w:val="0"/>
      <w:marRight w:val="0"/>
      <w:marTop w:val="0"/>
      <w:marBottom w:val="0"/>
      <w:divBdr>
        <w:top w:val="none" w:sz="0" w:space="0" w:color="auto"/>
        <w:left w:val="none" w:sz="0" w:space="0" w:color="auto"/>
        <w:bottom w:val="none" w:sz="0" w:space="0" w:color="auto"/>
        <w:right w:val="none" w:sz="0" w:space="0" w:color="auto"/>
      </w:divBdr>
    </w:div>
    <w:div w:id="1289239894">
      <w:bodyDiv w:val="1"/>
      <w:marLeft w:val="0"/>
      <w:marRight w:val="0"/>
      <w:marTop w:val="0"/>
      <w:marBottom w:val="0"/>
      <w:divBdr>
        <w:top w:val="none" w:sz="0" w:space="0" w:color="auto"/>
        <w:left w:val="none" w:sz="0" w:space="0" w:color="auto"/>
        <w:bottom w:val="none" w:sz="0" w:space="0" w:color="auto"/>
        <w:right w:val="none" w:sz="0" w:space="0" w:color="auto"/>
      </w:divBdr>
    </w:div>
    <w:div w:id="1869373628">
      <w:bodyDiv w:val="1"/>
      <w:marLeft w:val="0"/>
      <w:marRight w:val="0"/>
      <w:marTop w:val="0"/>
      <w:marBottom w:val="0"/>
      <w:divBdr>
        <w:top w:val="none" w:sz="0" w:space="0" w:color="auto"/>
        <w:left w:val="none" w:sz="0" w:space="0" w:color="auto"/>
        <w:bottom w:val="none" w:sz="0" w:space="0" w:color="auto"/>
        <w:right w:val="none" w:sz="0" w:space="0" w:color="auto"/>
      </w:divBdr>
    </w:div>
    <w:div w:id="207894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4.0/%2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76755-1EE3-41C9-8CC3-0F9C4B798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1115</Words>
  <Characters>6357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Shashi C</dc:creator>
  <cp:keywords/>
  <dc:description/>
  <cp:lastModifiedBy>editor</cp:lastModifiedBy>
  <cp:revision>8</cp:revision>
  <cp:lastPrinted>2017-09-06T20:15:00Z</cp:lastPrinted>
  <dcterms:created xsi:type="dcterms:W3CDTF">2017-09-06T11:58:00Z</dcterms:created>
  <dcterms:modified xsi:type="dcterms:W3CDTF">2017-09-07T08:10:00Z</dcterms:modified>
</cp:coreProperties>
</file>