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3E40F" w14:textId="085F8985" w:rsidR="007F0258" w:rsidRDefault="00F51499" w:rsidP="00177AE3">
      <w:pPr>
        <w:pStyle w:val="Body"/>
        <w:spacing w:after="0" w:line="240" w:lineRule="auto"/>
        <w:jc w:val="both"/>
        <w:rPr>
          <w:b/>
          <w:color w:val="7B7B7B" w:themeColor="accent3" w:themeShade="BF"/>
          <w:sz w:val="28"/>
          <w:szCs w:val="28"/>
          <w:lang w:val="en-GB"/>
        </w:rPr>
      </w:pPr>
      <w:r>
        <w:rPr>
          <w:b/>
          <w:color w:val="7B7B7B" w:themeColor="accent3" w:themeShade="BF"/>
          <w:sz w:val="28"/>
          <w:szCs w:val="28"/>
          <w:lang w:val="en-GB"/>
        </w:rPr>
        <w:t>Reflective piece</w:t>
      </w:r>
      <w:bookmarkStart w:id="0" w:name="_GoBack"/>
      <w:bookmarkEnd w:id="0"/>
      <w:r w:rsidR="007F0258">
        <w:rPr>
          <w:b/>
          <w:color w:val="7B7B7B" w:themeColor="accent3" w:themeShade="BF"/>
          <w:sz w:val="28"/>
          <w:szCs w:val="28"/>
          <w:lang w:val="en-GB"/>
        </w:rPr>
        <w:t xml:space="preserve"> </w:t>
      </w:r>
    </w:p>
    <w:p w14:paraId="1437DA42" w14:textId="77777777" w:rsidR="007F0258" w:rsidRDefault="007F0258" w:rsidP="00177AE3">
      <w:pPr>
        <w:pStyle w:val="Body"/>
        <w:spacing w:after="0" w:line="240" w:lineRule="auto"/>
        <w:jc w:val="both"/>
        <w:rPr>
          <w:b/>
          <w:color w:val="7B7B7B" w:themeColor="accent3" w:themeShade="BF"/>
          <w:sz w:val="28"/>
          <w:szCs w:val="28"/>
          <w:lang w:val="en-GB"/>
        </w:rPr>
      </w:pPr>
    </w:p>
    <w:p w14:paraId="5E7E515E" w14:textId="7390C739" w:rsidR="00442052" w:rsidRDefault="00442052" w:rsidP="00177AE3">
      <w:pPr>
        <w:pStyle w:val="Body"/>
        <w:spacing w:after="0" w:line="240" w:lineRule="auto"/>
        <w:jc w:val="both"/>
        <w:rPr>
          <w:b/>
          <w:color w:val="7B7B7B" w:themeColor="accent3" w:themeShade="BF"/>
          <w:sz w:val="28"/>
          <w:szCs w:val="28"/>
          <w:lang w:val="en-GB"/>
        </w:rPr>
      </w:pPr>
      <w:r w:rsidRPr="007F0258">
        <w:rPr>
          <w:b/>
          <w:color w:val="7B7B7B" w:themeColor="accent3" w:themeShade="BF"/>
          <w:sz w:val="28"/>
          <w:szCs w:val="28"/>
          <w:lang w:val="en-GB"/>
        </w:rPr>
        <w:t xml:space="preserve">The </w:t>
      </w:r>
      <w:r w:rsidR="007078F0" w:rsidRPr="007F0258">
        <w:rPr>
          <w:b/>
          <w:color w:val="7B7B7B" w:themeColor="accent3" w:themeShade="BF"/>
          <w:sz w:val="28"/>
          <w:szCs w:val="28"/>
          <w:lang w:val="en-GB"/>
        </w:rPr>
        <w:t xml:space="preserve">transformative potential of </w:t>
      </w:r>
      <w:r w:rsidR="00090BFB" w:rsidRPr="007F0258">
        <w:rPr>
          <w:b/>
          <w:color w:val="7B7B7B" w:themeColor="accent3" w:themeShade="BF"/>
          <w:sz w:val="28"/>
          <w:szCs w:val="28"/>
          <w:lang w:val="en-GB"/>
        </w:rPr>
        <w:t>S</w:t>
      </w:r>
      <w:r w:rsidR="00595195" w:rsidRPr="007F0258">
        <w:rPr>
          <w:b/>
          <w:color w:val="7B7B7B" w:themeColor="accent3" w:themeShade="BF"/>
          <w:sz w:val="28"/>
          <w:szCs w:val="28"/>
          <w:lang w:val="en-GB"/>
        </w:rPr>
        <w:t>outhern SO</w:t>
      </w:r>
      <w:r w:rsidRPr="007F0258">
        <w:rPr>
          <w:b/>
          <w:color w:val="7B7B7B" w:themeColor="accent3" w:themeShade="BF"/>
          <w:sz w:val="28"/>
          <w:szCs w:val="28"/>
          <w:lang w:val="en-GB"/>
        </w:rPr>
        <w:t>TL for Australian Indigenous Studies</w:t>
      </w:r>
    </w:p>
    <w:p w14:paraId="11A34E64" w14:textId="77777777" w:rsidR="00C0066F" w:rsidRPr="007F0258" w:rsidRDefault="00C0066F" w:rsidP="00D10A88">
      <w:pPr>
        <w:pStyle w:val="Body"/>
        <w:spacing w:after="0" w:line="240" w:lineRule="auto"/>
        <w:rPr>
          <w:b/>
          <w:color w:val="7B7B7B" w:themeColor="accent3" w:themeShade="BF"/>
          <w:sz w:val="28"/>
          <w:szCs w:val="28"/>
          <w:lang w:val="en-GB"/>
        </w:rPr>
      </w:pPr>
    </w:p>
    <w:tbl>
      <w:tblPr>
        <w:tblStyle w:val="TableGrid"/>
        <w:tblpPr w:leftFromText="180" w:rightFromText="180" w:vertAnchor="text" w:horzAnchor="margin"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555"/>
        <w:gridCol w:w="2476"/>
      </w:tblGrid>
      <w:tr w:rsidR="00C0066F" w:rsidRPr="00C0066F" w14:paraId="13DC7EF5" w14:textId="77777777" w:rsidTr="00F65325">
        <w:tc>
          <w:tcPr>
            <w:tcW w:w="1985" w:type="dxa"/>
          </w:tcPr>
          <w:p w14:paraId="40F0C52B" w14:textId="77777777" w:rsidR="00C0066F" w:rsidRPr="00C0066F" w:rsidRDefault="00C0066F" w:rsidP="00C0066F">
            <w:pPr>
              <w:pStyle w:val="Body"/>
              <w:shd w:val="clear" w:color="auto" w:fill="FFFFFF" w:themeFill="background1"/>
              <w:spacing w:after="0" w:line="240" w:lineRule="auto"/>
              <w:rPr>
                <w:b/>
                <w:color w:val="525252" w:themeColor="accent3" w:themeShade="80"/>
                <w:sz w:val="24"/>
                <w:szCs w:val="24"/>
                <w:lang w:val="en-GB"/>
              </w:rPr>
            </w:pPr>
            <w:r w:rsidRPr="00C0066F">
              <w:rPr>
                <w:b/>
                <w:color w:val="525252" w:themeColor="accent3" w:themeShade="80"/>
                <w:sz w:val="24"/>
                <w:szCs w:val="24"/>
                <w:lang w:val="en-GB"/>
              </w:rPr>
              <w:t>Susan Page</w:t>
            </w:r>
          </w:p>
        </w:tc>
        <w:tc>
          <w:tcPr>
            <w:tcW w:w="4555" w:type="dxa"/>
          </w:tcPr>
          <w:p w14:paraId="6FC8D8C9" w14:textId="7E78C028" w:rsidR="00C0066F" w:rsidRPr="00177AE3" w:rsidRDefault="00C0066F" w:rsidP="00C0066F">
            <w:pPr>
              <w:pStyle w:val="Body"/>
              <w:shd w:val="clear" w:color="auto" w:fill="FFFFFF" w:themeFill="background1"/>
              <w:spacing w:after="0" w:line="240" w:lineRule="auto"/>
              <w:rPr>
                <w:b/>
                <w:color w:val="525252" w:themeColor="accent3" w:themeShade="80"/>
                <w:lang w:val="en-GB"/>
              </w:rPr>
            </w:pPr>
            <w:r w:rsidRPr="00177AE3">
              <w:rPr>
                <w:color w:val="525252" w:themeColor="accent3" w:themeShade="80"/>
                <w:lang w:val="en-GB"/>
              </w:rPr>
              <w:t>University of Technology Sydney, Australia</w:t>
            </w:r>
          </w:p>
        </w:tc>
        <w:tc>
          <w:tcPr>
            <w:tcW w:w="2476" w:type="dxa"/>
          </w:tcPr>
          <w:p w14:paraId="073192E1" w14:textId="1FC06FA6" w:rsidR="00C0066F" w:rsidRPr="00177AE3" w:rsidRDefault="00C0066F" w:rsidP="00C0066F">
            <w:pPr>
              <w:pStyle w:val="Body"/>
              <w:shd w:val="clear" w:color="auto" w:fill="FFFFFF" w:themeFill="background1"/>
              <w:spacing w:after="0" w:line="240" w:lineRule="auto"/>
              <w:rPr>
                <w:b/>
                <w:color w:val="525252" w:themeColor="accent3" w:themeShade="80"/>
                <w:lang w:val="en-GB"/>
              </w:rPr>
            </w:pPr>
            <w:r w:rsidRPr="00177AE3">
              <w:rPr>
                <w:noProof/>
                <w:color w:val="525252" w:themeColor="accent3" w:themeShade="80"/>
                <w:lang w:val="en-US" w:eastAsia="en-US"/>
              </w:rPr>
              <w:t>susan.page@uts.edu.au</w:t>
            </w:r>
          </w:p>
        </w:tc>
      </w:tr>
    </w:tbl>
    <w:p w14:paraId="51F7653C" w14:textId="6653B9E7" w:rsidR="007C34C9" w:rsidRDefault="000F56A3" w:rsidP="005D7C69">
      <w:pPr>
        <w:pStyle w:val="Body"/>
        <w:spacing w:after="0"/>
        <w:jc w:val="both"/>
        <w:rPr>
          <w:lang w:val="en-GB"/>
        </w:rPr>
      </w:pPr>
      <w:r w:rsidRPr="007C0506">
        <w:rPr>
          <w:noProof/>
          <w:color w:val="525252" w:themeColor="accent3" w:themeShade="80"/>
          <w:lang w:val="en-GB" w:eastAsia="en-GB"/>
        </w:rPr>
        <mc:AlternateContent>
          <mc:Choice Requires="wps">
            <w:drawing>
              <wp:anchor distT="45720" distB="45720" distL="114300" distR="114300" simplePos="0" relativeHeight="251661312" behindDoc="0" locked="0" layoutInCell="1" allowOverlap="1" wp14:anchorId="7C836C8E" wp14:editId="60A20F11">
                <wp:simplePos x="0" y="0"/>
                <wp:positionH relativeFrom="column">
                  <wp:posOffset>0</wp:posOffset>
                </wp:positionH>
                <wp:positionV relativeFrom="page">
                  <wp:posOffset>3962400</wp:posOffset>
                </wp:positionV>
                <wp:extent cx="5719445" cy="2581275"/>
                <wp:effectExtent l="0" t="0" r="1460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581275"/>
                        </a:xfrm>
                        <a:prstGeom prst="rect">
                          <a:avLst/>
                        </a:prstGeom>
                        <a:solidFill>
                          <a:schemeClr val="bg1"/>
                        </a:solidFill>
                        <a:ln w="9525">
                          <a:solidFill>
                            <a:schemeClr val="accent4">
                              <a:lumMod val="75000"/>
                            </a:schemeClr>
                          </a:solidFill>
                          <a:miter lim="800000"/>
                          <a:headEnd/>
                          <a:tailEnd/>
                        </a:ln>
                      </wps:spPr>
                      <wps:txbx>
                        <w:txbxContent>
                          <w:p w14:paraId="40A35C98" w14:textId="77777777" w:rsidR="006C65B6" w:rsidRDefault="006C65B6" w:rsidP="000F56A3">
                            <w:pPr>
                              <w:spacing w:after="0"/>
                              <w:ind w:left="567" w:right="567"/>
                              <w:jc w:val="both"/>
                              <w:rPr>
                                <w:b/>
                                <w:color w:val="7B7B7B" w:themeColor="accent3" w:themeShade="BF"/>
                                <w:sz w:val="24"/>
                              </w:rPr>
                            </w:pPr>
                          </w:p>
                          <w:p w14:paraId="5624063D" w14:textId="77777777" w:rsidR="007451DF" w:rsidRPr="006C65B6" w:rsidRDefault="007451DF" w:rsidP="006C65B6">
                            <w:pPr>
                              <w:ind w:left="567" w:right="567"/>
                              <w:jc w:val="both"/>
                              <w:rPr>
                                <w:b/>
                                <w:color w:val="7B7B7B" w:themeColor="accent3" w:themeShade="BF"/>
                                <w:sz w:val="24"/>
                              </w:rPr>
                            </w:pPr>
                            <w:r w:rsidRPr="006C65B6">
                              <w:rPr>
                                <w:b/>
                                <w:color w:val="7B7B7B" w:themeColor="accent3" w:themeShade="BF"/>
                                <w:sz w:val="24"/>
                              </w:rPr>
                              <w:t>ABSTRACT</w:t>
                            </w:r>
                          </w:p>
                          <w:p w14:paraId="3F1035E4" w14:textId="77777777" w:rsidR="00442052" w:rsidRPr="001D016A" w:rsidRDefault="00442052" w:rsidP="00C82F51">
                            <w:pPr>
                              <w:pStyle w:val="Body"/>
                              <w:spacing w:after="0"/>
                              <w:ind w:left="567" w:right="567"/>
                              <w:jc w:val="both"/>
                              <w:rPr>
                                <w:szCs w:val="24"/>
                              </w:rPr>
                            </w:pPr>
                            <w:r w:rsidRPr="001D016A">
                              <w:rPr>
                                <w:szCs w:val="24"/>
                              </w:rPr>
                              <w:t>The complex problem of how students learn in Indigenous Studies and what they find most challenging has recently gained new importance for Australian tertiary educators. A new Indigenous strategy, released by the peak body Universities Australia, has indicated that all university curricula should include Indigenous perspectives. This short paper touches briefly on this potentially pivotal development in Australian Higher Education, foreshadows a learning and teaching project I am currently undertaking, and outli</w:t>
                            </w:r>
                            <w:r w:rsidR="00750849" w:rsidRPr="001D016A">
                              <w:rPr>
                                <w:szCs w:val="24"/>
                              </w:rPr>
                              <w:t>nes why SO</w:t>
                            </w:r>
                            <w:r w:rsidRPr="001D016A">
                              <w:rPr>
                                <w:szCs w:val="24"/>
                              </w:rPr>
                              <w:t>TL in the South is timely and crucial to advancing the contributions</w:t>
                            </w:r>
                            <w:r w:rsidR="001E481E" w:rsidRPr="001D016A">
                              <w:rPr>
                                <w:szCs w:val="24"/>
                              </w:rPr>
                              <w:t xml:space="preserve"> that</w:t>
                            </w:r>
                            <w:r w:rsidRPr="001D016A">
                              <w:rPr>
                                <w:szCs w:val="24"/>
                              </w:rPr>
                              <w:t xml:space="preserve"> Indigenous scholars are already making to the field in general and to social justice education more specifically.</w:t>
                            </w:r>
                          </w:p>
                          <w:p w14:paraId="6BF03C99" w14:textId="77777777" w:rsidR="007451DF" w:rsidRPr="00B03103" w:rsidRDefault="007451DF" w:rsidP="00442052">
                            <w:pPr>
                              <w:spacing w:line="240" w:lineRule="auto"/>
                              <w:ind w:left="567" w:right="567"/>
                              <w:jc w:val="both"/>
                              <w:rPr>
                                <w:b/>
                                <w:color w:val="525252" w:themeColor="accent3"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36C8E" id="_x0000_t202" coordsize="21600,21600" o:spt="202" path="m,l,21600r21600,l21600,xe">
                <v:stroke joinstyle="miter"/>
                <v:path gradientshapeok="t" o:connecttype="rect"/>
              </v:shapetype>
              <v:shape id="Text Box 2" o:spid="_x0000_s1026" type="#_x0000_t202" style="position:absolute;left:0;text-align:left;margin-left:0;margin-top:312pt;width:450.35pt;height:20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PQIAAGsEAAAOAAAAZHJzL2Uyb0RvYy54bWysVNtu2zAMfR+wfxD0vjjx4iUx4hRdug4D&#10;ugvQ7gMYWY6FSaInKbG7rx8lp1nWAXsY9mJIInl4eEh6fTUYzY7SeYW24rPJlDNpBdbK7iv+9eH2&#10;1ZIzH8DWoNHKij9Kz682L1+s+66UObaoa+kYgVhf9l3F2xC6Msu8aKUBP8FOWjI26AwEurp9Vjvo&#10;Cd3oLJ9O32Q9urpzKKT39HozGvkm4TeNFOFz03gZmK44cQvp69J3F7/ZZg3l3kHXKnGiAf/AwoCy&#10;lPQMdQMB2MGpP6CMEg49NmEi0GTYNErIVANVM5s+q+a+hU6mWkgc351l8v8PVnw6fnFM1RV/zZkF&#10;Qy16kENgb3FgeVSn73xJTvcduYWBnqnLqVLf3aH45pnFbQt2L6+dw76VUBO7WYzMLkJHHB9Bdv1H&#10;rCkNHAImoKFxJkpHYjBCpy49njsTqQh6LBaz1XxecCbIlhfLWb4oUg4on8I758N7iYbFQ8UdtT7B&#10;w/HOh0gHyieXmM2jVvWt0jpd4rjJrXbsCDQou/1YwDMvbVlf8VWRF6MAf0EAIaQN8+SnD4YqHpEX&#10;xXSaho7YpBmPSRO33/gYFWgrtDIVX1LAGAJlVPedrdPMBlB6PBOUtie5o8Kj1mHYDaf27bB+JOEd&#10;jtNP20qHFt0Pznqa/Ir77wdwkjP9wVLzVrP5PK5KusyLRU4Xd2nZXVrACoKqeOBsPG5DWq8oq8Vr&#10;anKjkvxxGkYmJ6400any0/bFlbm8J69f/4jNTwAAAP//AwBQSwMEFAAGAAgAAAAhAKsKhBrdAAAA&#10;CQEAAA8AAABkcnMvZG93bnJldi54bWxMj8FOwzAQRO9I/IO1SNyoTUhLCHEqVIkjEgQk2pubmCQi&#10;Xkf2tjV/z3Kitx3NaPZNtU5uEkcb4uhRw+1CgbDY+m7EXsPH+/NNASKSwc5MHq2GHxthXV9eVKbs&#10;/Anf7LGhXnAJxtJoGIjmUsrYDtaZuPCzRfa+fHCGWIZedsGcuNxNMlNqJZ0ZkT8MZrabwbbfzcFp&#10;KDa0w8+XXGb5NqSmoPS6NEnr66v09AiCbKL/MPzhMzrUzLT3B+yimDTwENKwynI+2H5Q6h7EnnPq&#10;Ti1B1pU8X1D/AgAA//8DAFBLAQItABQABgAIAAAAIQC2gziS/gAAAOEBAAATAAAAAAAAAAAAAAAA&#10;AAAAAABbQ29udGVudF9UeXBlc10ueG1sUEsBAi0AFAAGAAgAAAAhADj9If/WAAAAlAEAAAsAAAAA&#10;AAAAAAAAAAAALwEAAF9yZWxzLy5yZWxzUEsBAi0AFAAGAAgAAAAhAI77n6Q9AgAAawQAAA4AAAAA&#10;AAAAAAAAAAAALgIAAGRycy9lMm9Eb2MueG1sUEsBAi0AFAAGAAgAAAAhAKsKhBrdAAAACQEAAA8A&#10;AAAAAAAAAAAAAAAAlwQAAGRycy9kb3ducmV2LnhtbFBLBQYAAAAABAAEAPMAAAChBQAAAAA=&#10;" fillcolor="white [3212]" strokecolor="#bf8f00 [2407]">
                <v:textbox>
                  <w:txbxContent>
                    <w:p w14:paraId="40A35C98" w14:textId="77777777" w:rsidR="006C65B6" w:rsidRDefault="006C65B6" w:rsidP="000F56A3">
                      <w:pPr>
                        <w:spacing w:after="0"/>
                        <w:ind w:left="567" w:right="567"/>
                        <w:jc w:val="both"/>
                        <w:rPr>
                          <w:b/>
                          <w:color w:val="7B7B7B" w:themeColor="accent3" w:themeShade="BF"/>
                          <w:sz w:val="24"/>
                        </w:rPr>
                      </w:pPr>
                    </w:p>
                    <w:p w14:paraId="5624063D" w14:textId="77777777" w:rsidR="007451DF" w:rsidRPr="006C65B6" w:rsidRDefault="007451DF" w:rsidP="006C65B6">
                      <w:pPr>
                        <w:ind w:left="567" w:right="567"/>
                        <w:jc w:val="both"/>
                        <w:rPr>
                          <w:b/>
                          <w:color w:val="7B7B7B" w:themeColor="accent3" w:themeShade="BF"/>
                          <w:sz w:val="24"/>
                        </w:rPr>
                      </w:pPr>
                      <w:r w:rsidRPr="006C65B6">
                        <w:rPr>
                          <w:b/>
                          <w:color w:val="7B7B7B" w:themeColor="accent3" w:themeShade="BF"/>
                          <w:sz w:val="24"/>
                        </w:rPr>
                        <w:t>ABSTRACT</w:t>
                      </w:r>
                    </w:p>
                    <w:p w14:paraId="3F1035E4" w14:textId="77777777" w:rsidR="00442052" w:rsidRPr="001D016A" w:rsidRDefault="00442052" w:rsidP="00C82F51">
                      <w:pPr>
                        <w:pStyle w:val="Body"/>
                        <w:spacing w:after="0"/>
                        <w:ind w:left="567" w:right="567"/>
                        <w:jc w:val="both"/>
                        <w:rPr>
                          <w:szCs w:val="24"/>
                        </w:rPr>
                      </w:pPr>
                      <w:r w:rsidRPr="001D016A">
                        <w:rPr>
                          <w:szCs w:val="24"/>
                        </w:rPr>
                        <w:t>The complex problem of how students learn in Indigenous Studies and what they find most challenging has recently gained new importance for Australian tertiary educators. A new Indigenous strategy, released by the peak body Universities Australia, has indicated that all university curricula should include Indigenous perspectives. This short paper touches briefly on this potentially pivotal development in Australian Higher Education, foreshadows a learning and teaching project I am currently undertaking, and outli</w:t>
                      </w:r>
                      <w:r w:rsidR="00750849" w:rsidRPr="001D016A">
                        <w:rPr>
                          <w:szCs w:val="24"/>
                        </w:rPr>
                        <w:t>nes why SO</w:t>
                      </w:r>
                      <w:r w:rsidRPr="001D016A">
                        <w:rPr>
                          <w:szCs w:val="24"/>
                        </w:rPr>
                        <w:t>TL in the South is timely and crucial to advancing the contributions</w:t>
                      </w:r>
                      <w:r w:rsidR="001E481E" w:rsidRPr="001D016A">
                        <w:rPr>
                          <w:szCs w:val="24"/>
                        </w:rPr>
                        <w:t xml:space="preserve"> that</w:t>
                      </w:r>
                      <w:r w:rsidRPr="001D016A">
                        <w:rPr>
                          <w:szCs w:val="24"/>
                        </w:rPr>
                        <w:t xml:space="preserve"> Indigenous scholars are already making to the field in general and to social justice education more specifically.</w:t>
                      </w:r>
                    </w:p>
                    <w:p w14:paraId="6BF03C99" w14:textId="77777777" w:rsidR="007451DF" w:rsidRPr="00B03103" w:rsidRDefault="007451DF" w:rsidP="00442052">
                      <w:pPr>
                        <w:spacing w:line="240" w:lineRule="auto"/>
                        <w:ind w:left="567" w:right="567"/>
                        <w:jc w:val="both"/>
                        <w:rPr>
                          <w:b/>
                          <w:color w:val="525252" w:themeColor="accent3" w:themeShade="80"/>
                        </w:rPr>
                      </w:pPr>
                    </w:p>
                  </w:txbxContent>
                </v:textbox>
                <w10:wrap type="square" anchory="page"/>
              </v:shape>
            </w:pict>
          </mc:Fallback>
        </mc:AlternateContent>
      </w:r>
    </w:p>
    <w:p w14:paraId="1CA604CD" w14:textId="3F5AD5EB" w:rsidR="00442052" w:rsidRDefault="00442052" w:rsidP="007C34C9">
      <w:pPr>
        <w:pStyle w:val="Body"/>
        <w:spacing w:before="240" w:after="0"/>
        <w:jc w:val="both"/>
        <w:rPr>
          <w:lang w:val="en-GB"/>
        </w:rPr>
      </w:pPr>
      <w:r w:rsidRPr="0076482D">
        <w:rPr>
          <w:lang w:val="en-GB"/>
        </w:rPr>
        <w:t xml:space="preserve">What do students find most challenging when they are first learning in Indigenous Studies? This is a complex question – explored rather than answered in this paper </w:t>
      </w:r>
      <w:r w:rsidR="00026456" w:rsidRPr="0076482D">
        <w:rPr>
          <w:lang w:val="en-GB"/>
        </w:rPr>
        <w:t>–</w:t>
      </w:r>
      <w:r w:rsidRPr="0076482D">
        <w:rPr>
          <w:lang w:val="en-GB"/>
        </w:rPr>
        <w:t xml:space="preserve"> even before we consider possible answers. Which students? In Australia students could be local non-Indigenous, local Indigenous, or international, which could include students who are Indigenous to other countries. Learners could be mature</w:t>
      </w:r>
      <w:r w:rsidR="00E15A24" w:rsidRPr="0076482D">
        <w:rPr>
          <w:lang w:val="en-GB"/>
        </w:rPr>
        <w:t>-</w:t>
      </w:r>
      <w:r w:rsidRPr="0076482D">
        <w:rPr>
          <w:lang w:val="en-GB"/>
        </w:rPr>
        <w:t>aged or just out of secondary education. What Indigenous Studies? A major area of study, sequenced carefully, leading to a level of discipline expertise; or more commonly a single subject in a degree with varying degrees of relevance to the main discipline of study? I have previously suggested that this kind of question sits squarely in the Scholars</w:t>
      </w:r>
      <w:r w:rsidR="00EE2B57" w:rsidRPr="0076482D">
        <w:rPr>
          <w:lang w:val="en-GB"/>
        </w:rPr>
        <w:t>hip of Teaching and Learning (SO</w:t>
      </w:r>
      <w:r w:rsidRPr="0076482D">
        <w:rPr>
          <w:lang w:val="en-GB"/>
        </w:rPr>
        <w:t xml:space="preserve">TL) frame </w:t>
      </w:r>
      <w:r w:rsidRPr="0076482D">
        <w:fldChar w:fldCharType="begin" w:fldLock="1"/>
      </w:r>
      <w:r w:rsidRPr="0076482D">
        <w:rPr>
          <w:lang w:val="en-GB"/>
        </w:rPr>
        <w:instrText>ADDIN CSL_CITATION { "citationItems" : [ { "id" : "ITEM-1", "itemData" : { "DOI" : "10.1017/jie.2014.4", "ISBN" : "1326011114000", "ISSN" : "1326-0111", "author" : [ { "dropping-particle" : "", "family" : "Page", "given" : "Susan", "non-dropping-particle" : "", "parse-names" : false, "suffix" : "" } ], "container-title" : "The Australian Journal of Indigenous Education", "id" : "ITEM-1", "issue" : "01", "issued" : { "date-parts" : [ [ "2014" ] ] }, "page" : "21-30", "title" : "Exploring New Conceptualisations of Old Problems: Researching and Reorienting Teaching in Indigenous Studies to Transform Student Learning", "type" : "article-journal", "volume" : "43" }, "uris" : [ "http://www.mendeley.com/documents/?uuid=1f62427e-5bb8-4e9c-965e-50fa977ee0d5" ] } ], "mendeley" : { "formattedCitation" : "(Page 2014)", "plainTextFormattedCitation" : "(Page 2014)", "previouslyFormattedCitation" : "(Page 2014)" }, "properties" : { "noteIndex" : 0 }, "schema" : "https://github.com/citation-style-language/schema/raw/master/csl-citation.json" }</w:instrText>
      </w:r>
      <w:r w:rsidRPr="0076482D">
        <w:fldChar w:fldCharType="separate"/>
      </w:r>
      <w:r w:rsidRPr="0076482D">
        <w:rPr>
          <w:noProof/>
          <w:lang w:val="en-GB"/>
        </w:rPr>
        <w:t>(Page 2014)</w:t>
      </w:r>
      <w:r w:rsidRPr="0076482D">
        <w:fldChar w:fldCharType="end"/>
      </w:r>
      <w:r w:rsidRPr="0076482D">
        <w:rPr>
          <w:lang w:val="en-GB"/>
        </w:rPr>
        <w:t>. The question could be rhetorical; the sort of question we might ponder while drowning in a sea of uninspiring fir</w:t>
      </w:r>
      <w:r w:rsidR="00EE2B57" w:rsidRPr="0076482D">
        <w:rPr>
          <w:lang w:val="en-GB"/>
        </w:rPr>
        <w:t>st</w:t>
      </w:r>
      <w:r w:rsidR="00752D18" w:rsidRPr="0076482D">
        <w:rPr>
          <w:lang w:val="en-GB"/>
        </w:rPr>
        <w:t>-</w:t>
      </w:r>
      <w:r w:rsidR="00EE2B57" w:rsidRPr="0076482D">
        <w:rPr>
          <w:lang w:val="en-GB"/>
        </w:rPr>
        <w:t>year papers. What makes it SO</w:t>
      </w:r>
      <w:r w:rsidRPr="0076482D">
        <w:rPr>
          <w:lang w:val="en-GB"/>
        </w:rPr>
        <w:t xml:space="preserve">TL is the potential to be researched, the connection to enhanced practice and the possible contribution to field (Boyer 1990). </w:t>
      </w:r>
    </w:p>
    <w:p w14:paraId="7989897C" w14:textId="77777777" w:rsidR="00344D48" w:rsidRPr="0076482D" w:rsidRDefault="00344D48" w:rsidP="005D7C69">
      <w:pPr>
        <w:pStyle w:val="Body"/>
        <w:spacing w:after="0"/>
        <w:jc w:val="both"/>
        <w:rPr>
          <w:lang w:val="en-GB"/>
        </w:rPr>
      </w:pPr>
    </w:p>
    <w:p w14:paraId="2812E5CB" w14:textId="77777777" w:rsidR="00442052" w:rsidRPr="0076482D" w:rsidRDefault="00442052" w:rsidP="005D7C69">
      <w:pPr>
        <w:pStyle w:val="Body"/>
        <w:spacing w:after="0"/>
        <w:jc w:val="both"/>
        <w:rPr>
          <w:lang w:val="en-GB"/>
        </w:rPr>
      </w:pPr>
      <w:r w:rsidRPr="0076482D">
        <w:rPr>
          <w:lang w:val="en-GB"/>
        </w:rPr>
        <w:t xml:space="preserve">It’s not surprising that students might find Indigenous Studies difficult. As teachers of Indigenous Studies we flinch at student resistance, we wince at racism and occasionally we cry at their insensitivity. In short, we sometimes find teaching emotional and difficult </w:t>
      </w:r>
      <w:r w:rsidRPr="0076482D">
        <w:rPr>
          <w:lang w:val="en-GB"/>
        </w:rPr>
        <w:fldChar w:fldCharType="begin" w:fldLock="1"/>
      </w:r>
      <w:r w:rsidRPr="0076482D">
        <w:rPr>
          <w:lang w:val="en-GB"/>
        </w:rPr>
        <w:instrText>ADDIN CSL_CITATION { "citationItems" : [ { "id" : "ITEM-1", "itemData" : { "DOI" : "10.1080/02188790903097505", "ISBN" : "0218879090309", "ISSN" : "0218-8791", "abstract" : "Academics of Aboriginal and/or Torres Strait Islander descent are few in number but play a vital role in Australian university teaching. In addition to teaching both Indigenous and non-Indigenous students, they interact with academic colleagues in a context where pressures to \u201cIndigenize\u201d Australian curricula and increase Indigenous enrolments are growing. In this article, we will draw on our nation-wide research with Indigenous academics to further explore this under-researched area of Australian university teaching, and the highs and lows of how Indigenous teachers experience their roles. Our findings reveal that for our Indigenous colleagues, sources of personal and professional satisfaction - as well as stress - appear qualitatively different from those commonly associated with academic work. Of particular concern are the findings in relation to issues of cultural difference on our campuses, played out in the ways Indigenous and non-Indigenous staff and students interact daily. Counterbalancing this potential negativity is the strong, indeed inspiring, commitment on the part of our Indigenous academic participants to the educational futures of their students, and thus, to the futures of Indigenous communities across Australia. The findings raise some thought-provoking questions for individuals and institutions in the higher education systems of our region, and perhaps beyond.   ", "author" : [ { "dropping-particle" : "", "family" : "Asmar", "given" : "Christine", "non-dropping-particle" : "", "parse-names" : false, "suffix" : "" }, { "dropping-particle" : "", "family" : "Page", "given" : "Susan", "non-dropping-particle" : "", "parse-names" : false, "suffix" : "" } ], "container-title" : "Asia Pacific Journal of Education", "id" : "ITEM-1", "issue" : "3", "issued" : { "date-parts" : [ [ "2009" ] ] }, "page" : "387-401", "title" : "Sources of satisfaction and stress among Indigenous academic teachers: Findings from a national Australian study", "type" : "article-journal", "volume" : "29" }, "uris" : [ "http://www.mendeley.com/documents/?uuid=e5642a1d-0a5f-4fbd-ac01-bec1c77491da" ] } ], "mendeley" : { "formattedCitation" : "(Asmar &amp; Page 2009)", "plainTextFormattedCitation" : "(Asmar &amp; Page 2009)", "previouslyFormattedCitation" : "(Asmar &amp; Page 2009)" }, "properties" : { "noteIndex" : 0 }, "schema" : "https://github.com/citation-style-language/schema/raw/master/csl-citation.json" }</w:instrText>
      </w:r>
      <w:r w:rsidRPr="0076482D">
        <w:rPr>
          <w:lang w:val="en-GB"/>
        </w:rPr>
        <w:fldChar w:fldCharType="separate"/>
      </w:r>
      <w:r w:rsidRPr="0076482D">
        <w:rPr>
          <w:noProof/>
          <w:lang w:val="en-GB"/>
        </w:rPr>
        <w:t>(Asmar &amp; Page 2009)</w:t>
      </w:r>
      <w:r w:rsidRPr="0076482D">
        <w:rPr>
          <w:lang w:val="en-GB"/>
        </w:rPr>
        <w:fldChar w:fldCharType="end"/>
      </w:r>
      <w:r w:rsidRPr="0076482D">
        <w:rPr>
          <w:lang w:val="en-GB"/>
        </w:rPr>
        <w:t xml:space="preserve">. In this </w:t>
      </w:r>
      <w:r w:rsidRPr="0076482D">
        <w:rPr>
          <w:lang w:val="en-GB"/>
        </w:rPr>
        <w:lastRenderedPageBreak/>
        <w:t>short, reflective and somewhat meandering piece I will touch briefly on a recent and potentially pivotal development in Australian Higher Education, foreshadow a learning and teaching project I am currently</w:t>
      </w:r>
      <w:r w:rsidR="00EE2B57" w:rsidRPr="0076482D">
        <w:rPr>
          <w:lang w:val="en-GB"/>
        </w:rPr>
        <w:t xml:space="preserve"> undertaking, and outline why SO</w:t>
      </w:r>
      <w:r w:rsidRPr="0076482D">
        <w:rPr>
          <w:lang w:val="en-GB"/>
        </w:rPr>
        <w:t>TL in the South is timely and crucial to advancing the contributions Indigenous scholars are already making to the field in general and to social justice education more specifically.</w:t>
      </w:r>
    </w:p>
    <w:p w14:paraId="780674DC" w14:textId="77777777" w:rsidR="00442052" w:rsidRPr="0076482D" w:rsidRDefault="00442052" w:rsidP="005D7C69">
      <w:pPr>
        <w:pStyle w:val="Body"/>
        <w:spacing w:after="0"/>
        <w:jc w:val="both"/>
        <w:rPr>
          <w:lang w:val="en-GB"/>
        </w:rPr>
      </w:pPr>
    </w:p>
    <w:p w14:paraId="2ABE0D24" w14:textId="787CF7B6" w:rsidR="00442052" w:rsidRPr="0076482D" w:rsidRDefault="00442052" w:rsidP="005D7C69">
      <w:pPr>
        <w:pStyle w:val="Body"/>
        <w:spacing w:after="0"/>
        <w:jc w:val="both"/>
        <w:rPr>
          <w:lang w:val="en-GB"/>
        </w:rPr>
      </w:pPr>
      <w:r w:rsidRPr="0076482D">
        <w:rPr>
          <w:lang w:val="en-GB"/>
        </w:rPr>
        <w:t>Teaching becomes scholarship when the work we do as teachers becomes public, is critiqued through peer-review, and communicated with other members of our professional communities to foster further development of our work (Shulman 2000). The question of student learning in Indigenous Studies sits both comfortably and u</w:t>
      </w:r>
      <w:r w:rsidR="00EE2B57" w:rsidRPr="0076482D">
        <w:rPr>
          <w:lang w:val="en-GB"/>
        </w:rPr>
        <w:t>ncomfortably in the domain of SO</w:t>
      </w:r>
      <w:r w:rsidRPr="0076482D">
        <w:rPr>
          <w:lang w:val="en-GB"/>
        </w:rPr>
        <w:t xml:space="preserve">TL in the South. Indigenous Studies is clearly relevant to Southern theory, concerned as it is with race, privilege and power. However, in the recent research that I have been undertaking, exploring student learning in Indigenous Studies, I have always felt a tension between a desire to teach for better learning, and undertaking research focusing on the largely non-Indigenous students who are the majority of learners in Indigenous Studies. Although this tension remains unresolved, some recent developments in Australia Higher Education bring the question, and its potential for illuminating learning, into sharper focus. All Australian universities have recently agreed to ensure all students “encounter and engage with Aboriginal and Torres Strait Islander cultural content as integral parts of their course of study, by 2020” </w:t>
      </w:r>
      <w:r w:rsidRPr="0076482D">
        <w:rPr>
          <w:lang w:val="en-GB"/>
        </w:rPr>
        <w:fldChar w:fldCharType="begin" w:fldLock="1"/>
      </w:r>
      <w:r w:rsidRPr="0076482D">
        <w:rPr>
          <w:lang w:val="en-GB"/>
        </w:rPr>
        <w:instrText>ADDIN CSL_CITATION { "citationItems" : [ { "id" : "ITEM-1", "itemData" : { "author" : [ { "dropping-particle" : "", "family" : "Universities Australia", "given" : "", "non-dropping-particle" : "", "parse-names" : false, "suffix" : "" } ], "id" : "ITEM-1", "issue" : "July", "issued" : { "date-parts" : [ [ "2017" ] ] }, "number-of-pages" : "1-49", "title" : "Universities Australia", "type" : "report" }, "uris" : [ "http://www.mendeley.com/documents/?uuid=5a9f4c4c-1ccd-4de2-8729-ceef1e0a985f" ] } ], "mendeley" : { "formattedCitation" : "(Universities Australia 2017)", "manualFormatting" : "(Universities Australia, 2017, 14)", "plainTextFormattedCitation" : "(Universities Australia 2017)", "previouslyFormattedCitation" : "(Universities Australia 2017)" }, "properties" : { "noteIndex" : 0 }, "schema" : "https://github.com/citation-style-language/schema/raw/master/csl-citation.json" }</w:instrText>
      </w:r>
      <w:r w:rsidRPr="0076482D">
        <w:rPr>
          <w:lang w:val="en-GB"/>
        </w:rPr>
        <w:fldChar w:fldCharType="separate"/>
      </w:r>
      <w:r w:rsidRPr="0076482D">
        <w:rPr>
          <w:noProof/>
          <w:lang w:val="en-GB"/>
        </w:rPr>
        <w:t>(Universities Australia</w:t>
      </w:r>
      <w:r w:rsidR="001E4769" w:rsidRPr="0076482D">
        <w:rPr>
          <w:noProof/>
          <w:lang w:val="en-GB"/>
        </w:rPr>
        <w:t xml:space="preserve"> </w:t>
      </w:r>
      <w:r w:rsidRPr="0076482D">
        <w:rPr>
          <w:noProof/>
          <w:lang w:val="en-GB"/>
        </w:rPr>
        <w:t>2017</w:t>
      </w:r>
      <w:r w:rsidR="001E4769" w:rsidRPr="0076482D">
        <w:rPr>
          <w:noProof/>
          <w:lang w:val="en-GB"/>
        </w:rPr>
        <w:t>:</w:t>
      </w:r>
      <w:r w:rsidRPr="0076482D">
        <w:rPr>
          <w:noProof/>
          <w:lang w:val="en-GB"/>
        </w:rPr>
        <w:t>14)</w:t>
      </w:r>
      <w:r w:rsidRPr="0076482D">
        <w:rPr>
          <w:lang w:val="en-GB"/>
        </w:rPr>
        <w:fldChar w:fldCharType="end"/>
      </w:r>
      <w:r w:rsidRPr="0076482D">
        <w:rPr>
          <w:lang w:val="en-GB"/>
        </w:rPr>
        <w:t>. However, as the overwhelming majority of students in Australian universities are non-Indigenous (whether domestic or international) it will be vital to harness all the relevant research to date and continue to pursue fresh research to ensure that this opportunity, to engage students in Indigenous Studies and address the ongoing inequities of colonialism, is maximised.</w:t>
      </w:r>
    </w:p>
    <w:p w14:paraId="580AE33C" w14:textId="77777777" w:rsidR="00442052" w:rsidRPr="0076482D" w:rsidRDefault="00442052" w:rsidP="005D7C69">
      <w:pPr>
        <w:pStyle w:val="Body"/>
        <w:spacing w:after="0"/>
        <w:jc w:val="both"/>
        <w:rPr>
          <w:lang w:val="en-GB"/>
        </w:rPr>
      </w:pPr>
    </w:p>
    <w:p w14:paraId="3AE48990" w14:textId="4A54F208" w:rsidR="00442052" w:rsidRDefault="00442052" w:rsidP="005D7C69">
      <w:pPr>
        <w:pStyle w:val="Body"/>
        <w:spacing w:after="0"/>
        <w:jc w:val="both"/>
        <w:rPr>
          <w:lang w:val="en-GB"/>
        </w:rPr>
      </w:pPr>
      <w:r w:rsidRPr="0076482D">
        <w:rPr>
          <w:lang w:val="en-GB"/>
        </w:rPr>
        <w:t xml:space="preserve">The </w:t>
      </w:r>
      <w:r w:rsidRPr="0076482D">
        <w:rPr>
          <w:i/>
          <w:lang w:val="en-GB"/>
        </w:rPr>
        <w:t>Indigenous Strategy 2017-2020</w:t>
      </w:r>
      <w:r w:rsidRPr="0076482D">
        <w:rPr>
          <w:lang w:val="en-GB"/>
        </w:rPr>
        <w:t xml:space="preserve">, launched by the peak body Universities Australia, builds on a commitment made some years ago by the Deans of Medicine who collectively took steps to ensure that medical graduates were better prepared to contribute to improving Indigenous Australian health as well as providing better services to Indigenous communities </w:t>
      </w:r>
      <w:r w:rsidRPr="0076482D">
        <w:fldChar w:fldCharType="begin" w:fldLock="1"/>
      </w:r>
      <w:r w:rsidRPr="0076482D">
        <w:rPr>
          <w:lang w:val="en-GB"/>
        </w:rPr>
        <w:instrText>ADDIN CSL_CITATION { "citationItems" : [ { "id" : "ITEM-1", "itemData" : { "abstract" : "Overview In 2002, the Committee of Deans of Australasian Medical Schools (CDAMS) partnered with the Office of Aboriginal and Torres Strait Islander Health (OATSIH), within the Commonwealth Department of Health and Ageing, to establish and implement the CDAMS Indigenous Health Curriculum Development Project. The University of Melbourne, through the VicHealth Koori Health Research and Community Development Unit, kindly agreed to host the Project, which had four key objectives: 1. Audit existing Indigenous health content in core medical education. 2. Develop a nationally agreed curriculum framework for the inclusion of Indigenous health in core medical curricula. 3. Develop a network of Indigenous and non-Indigenous medical educators concerned with Indigenous health. 4. Seek accreditation of the curriculum framework by the Australian Medical Council (AMC). The audit and consultation process has been completed, and plans for the development of a national network of medical educators are currently under way. In addition to developing, endorsing and undertaking to implement the curriculum framework, CDAMS proposed to the Australian Medical Council (AMC) that this framework be included in their accreditation guidelines. The AMC have formally approved this proposal, meaning that all medical schools in Australia will be required to report on the implementation of these guidelines as part of their regular accreditation requirements. This framework has been developed in consultation with medical educators, Indigenous health specialists, the Australian Indigenous Doctors\u2019 Association (AIDA), medical colleges, student bodies, and other organisations such as the Australian Rural Health Education Network", "author" : [ { "dropping-particle" : "", "family" : "Phillips", "given" : "Gregory", "non-dropping-particle" : "", "parse-names" : false, "suffix" : "" } ], "container-title" : "Committee of Deans of Australian Medical Schools", "id" : "ITEM-1", "issue" : "August", "issued" : { "date-parts" : [ [ "2004" ] ] }, "page" : "32", "title" : "CDAMS Indigenous Health Curriculum Framework", "type" : "article-journal" }, "uris" : [ "http://www.mendeley.com/documents/?uuid=222458ed-d1ad-4312-9185-0188130f1b1b" ] } ], "mendeley" : { "formattedCitation" : "(Phillips 2004)", "plainTextFormattedCitation" : "(Phillips 2004)", "previouslyFormattedCitation" : "(Phillips 2004)" }, "properties" : { "noteIndex" : 0 }, "schema" : "https://github.com/citation-style-language/schema/raw/master/csl-citation.json" }</w:instrText>
      </w:r>
      <w:r w:rsidRPr="0076482D">
        <w:fldChar w:fldCharType="separate"/>
      </w:r>
      <w:r w:rsidRPr="0076482D">
        <w:rPr>
          <w:noProof/>
          <w:lang w:val="en-GB"/>
        </w:rPr>
        <w:t>(Phillips 2004)</w:t>
      </w:r>
      <w:r w:rsidRPr="0076482D">
        <w:fldChar w:fldCharType="end"/>
      </w:r>
      <w:r w:rsidRPr="0076482D">
        <w:rPr>
          <w:lang w:val="en-GB"/>
        </w:rPr>
        <w:t xml:space="preserve">. Universities have agreed that learning more about Indigenous Australian history and the ongoing legacies of colonisation in Indigenous communities will reinforce the capacity of the nation’s future service providers, and professionals to work effectively in Indigenous contexts. Many universities are already making efforts in this area with some introducing cultural awareness modules that all students must complete before graduation </w:t>
      </w:r>
      <w:r w:rsidR="00F74FD4" w:rsidRPr="0076482D">
        <w:rPr>
          <w:lang w:val="en-GB"/>
        </w:rPr>
        <w:t>(</w:t>
      </w:r>
      <w:r w:rsidRPr="0076482D">
        <w:rPr>
          <w:lang w:val="en-GB"/>
        </w:rPr>
        <w:t>for example</w:t>
      </w:r>
      <w:r w:rsidR="00F74FD4" w:rsidRPr="0076482D">
        <w:rPr>
          <w:lang w:val="en-GB"/>
        </w:rPr>
        <w:t>, the</w:t>
      </w:r>
      <w:r w:rsidRPr="0076482D">
        <w:rPr>
          <w:lang w:val="en-GB"/>
        </w:rPr>
        <w:t xml:space="preserve"> University of Western Australia</w:t>
      </w:r>
      <w:r w:rsidR="00F74FD4" w:rsidRPr="0076482D">
        <w:rPr>
          <w:lang w:val="en-GB"/>
        </w:rPr>
        <w:t>)</w:t>
      </w:r>
      <w:r w:rsidRPr="0076482D">
        <w:rPr>
          <w:lang w:val="en-GB"/>
        </w:rPr>
        <w:t>. Others have introduced compulsory Indigenous Studies subjects. Ambitious institutions have attempted whole</w:t>
      </w:r>
      <w:r w:rsidR="00FC16E7" w:rsidRPr="0076482D">
        <w:rPr>
          <w:lang w:val="en-GB"/>
        </w:rPr>
        <w:t>-</w:t>
      </w:r>
      <w:r w:rsidRPr="0076482D">
        <w:rPr>
          <w:lang w:val="en-GB"/>
        </w:rPr>
        <w:t>of</w:t>
      </w:r>
      <w:r w:rsidR="00FC16E7" w:rsidRPr="0076482D">
        <w:rPr>
          <w:lang w:val="en-GB"/>
        </w:rPr>
        <w:t>-</w:t>
      </w:r>
      <w:r w:rsidRPr="0076482D">
        <w:rPr>
          <w:lang w:val="en-GB"/>
        </w:rPr>
        <w:t xml:space="preserve">institution change (see for example </w:t>
      </w:r>
      <w:r w:rsidRPr="0076482D">
        <w:fldChar w:fldCharType="begin" w:fldLock="1"/>
      </w:r>
      <w:r w:rsidRPr="0076482D">
        <w:rPr>
          <w:lang w:val="en-GB"/>
        </w:rPr>
        <w:instrText>ADDIN CSL_CITATION { "citationItems" : [ { "id" : "ITEM-1", "itemData" : { "author" : [ { "dropping-particle" : "", "family" : "Anning", "given" : "B", "non-dropping-particle" : "", "parse-names" : false, "suffix" : "" } ], "container-title" : "Australian Journal of Indigenous Education", "id" : "ITEM-1", "issue" : "02", "issued" : { "date-parts" : [ [ "2010" ] ] }, "page" : "40-52", "title" : "embedding indigenous graduate attribute uniVersity Western sydney \u2019 s courses", "type" : "article-journal", "volume" : "39" }, "uris" : [ "http://www.mendeley.com/documents/?uuid=13b3dde1-4bec-44f1-87e0-d84d88f69698" ] } ], "mendeley" : { "formattedCitation" : "(Anning 2010)", "manualFormatting" : "Anning, 2010)", "plainTextFormattedCitation" : "(Anning 2010)", "previouslyFormattedCitation" : "(Anning 2010)" }, "properties" : { "noteIndex" : 0 }, "schema" : "https://github.com/citation-style-language/schema/raw/master/csl-citation.json" }</w:instrText>
      </w:r>
      <w:r w:rsidRPr="0076482D">
        <w:fldChar w:fldCharType="separate"/>
      </w:r>
      <w:r w:rsidRPr="0076482D">
        <w:rPr>
          <w:noProof/>
          <w:lang w:val="en-GB"/>
        </w:rPr>
        <w:t>Anning 2010)</w:t>
      </w:r>
      <w:r w:rsidRPr="0076482D">
        <w:fldChar w:fldCharType="end"/>
      </w:r>
      <w:r w:rsidRPr="0076482D">
        <w:rPr>
          <w:lang w:val="en-GB"/>
        </w:rPr>
        <w:t xml:space="preserve"> with varying degrees of success. </w:t>
      </w:r>
    </w:p>
    <w:p w14:paraId="2C6C4BB7" w14:textId="77777777" w:rsidR="00344D48" w:rsidRPr="0076482D" w:rsidRDefault="00344D48" w:rsidP="005D7C69">
      <w:pPr>
        <w:pStyle w:val="Body"/>
        <w:spacing w:after="0"/>
        <w:jc w:val="both"/>
        <w:rPr>
          <w:lang w:val="en-GB"/>
        </w:rPr>
      </w:pPr>
    </w:p>
    <w:p w14:paraId="6C7E3339" w14:textId="27FA12C0" w:rsidR="00442052" w:rsidRPr="0076482D" w:rsidRDefault="00442052" w:rsidP="005D7C69">
      <w:pPr>
        <w:pStyle w:val="Body"/>
        <w:spacing w:after="0"/>
        <w:jc w:val="both"/>
        <w:rPr>
          <w:lang w:val="en-GB"/>
        </w:rPr>
      </w:pPr>
      <w:r w:rsidRPr="0076482D">
        <w:rPr>
          <w:lang w:val="en-GB"/>
        </w:rPr>
        <w:t>A narrow, isolated focus on curriculum change through embedding Indigenous perspectives suggests that the curriculum we need is just waiting to slot into place and that the space in the curriculum w</w:t>
      </w:r>
      <w:r w:rsidR="009A12ED" w:rsidRPr="0076482D">
        <w:rPr>
          <w:lang w:val="en-GB"/>
        </w:rPr>
        <w:t xml:space="preserve">ill be unreservedly available. </w:t>
      </w:r>
      <w:r w:rsidRPr="0076482D">
        <w:rPr>
          <w:lang w:val="en-GB"/>
        </w:rPr>
        <w:t>At my own institution I am part of a team of senior Indigenous academics seeking to implement curricul</w:t>
      </w:r>
      <w:r w:rsidR="004B0D81" w:rsidRPr="0076482D">
        <w:rPr>
          <w:lang w:val="en-GB"/>
        </w:rPr>
        <w:t>a</w:t>
      </w:r>
      <w:r w:rsidRPr="0076482D">
        <w:rPr>
          <w:lang w:val="en-GB"/>
        </w:rPr>
        <w:t xml:space="preserve"> to service a university</w:t>
      </w:r>
      <w:r w:rsidR="004B0D81" w:rsidRPr="0076482D">
        <w:rPr>
          <w:lang w:val="en-GB"/>
        </w:rPr>
        <w:t>-</w:t>
      </w:r>
      <w:r w:rsidRPr="0076482D">
        <w:rPr>
          <w:lang w:val="en-GB"/>
        </w:rPr>
        <w:t xml:space="preserve">wide Indigenous graduate attribute which means that all graduates are expected to have Indigenous professional capability </w:t>
      </w:r>
      <w:r w:rsidRPr="0076482D">
        <w:rPr>
          <w:lang w:val="en-GB"/>
        </w:rPr>
        <w:fldChar w:fldCharType="begin" w:fldLock="1"/>
      </w:r>
      <w:r w:rsidRPr="0076482D">
        <w:rPr>
          <w:lang w:val="en-GB"/>
        </w:rPr>
        <w:instrText>ADDIN CSL_CITATION { "citationItems" : [ { "id" : "ITEM-1", "itemData" : { "ISBN" : "9780908557967", "author" : [ { "dropping-particle" : "", "family" : "Page, S., Trudgett, M., &amp; Bodkin-Andrews", "given" : "G.", "non-dropping-particle" : "", "parse-names" : false, "suffix" : "" } ], "container-title" : "In M. Davis &amp; A. Goody (Eds.), Research and Development in Higher Education: The Shape of Higher Education,", "id" : "ITEM-1", "issued" : { "date-parts" : [ [ "2016" ] ] }, "page" : "258-277", "title" : "Exploring an Indigenous graduate attribute project through a critical race theory lens.", "type" : "paper-conference", "volume" : "39" }, "uris" : [ "http://www.mendeley.com/documents/?uuid=0e9d87a7-38d6-4a69-9e1a-e2cd9e0f91df" ] } ], "mendeley" : { "formattedCitation" : "(Page, S., Trudgett, M., &amp; Bodkin-Andrews 2016)", "plainTextFormattedCitation" : "(Page, S., Trudgett, M., &amp; Bodkin-Andrews 2016)", "previouslyFormattedCitation" : "(Page, S., Trudgett, M., &amp; Bodkin-Andrews 2016)" }, "properties" : { "noteIndex" : 0 }, "schema" : "https://github.com/citation-style-language/schema/raw/master/csl-citation.json" }</w:instrText>
      </w:r>
      <w:r w:rsidRPr="0076482D">
        <w:rPr>
          <w:lang w:val="en-GB"/>
        </w:rPr>
        <w:fldChar w:fldCharType="separate"/>
      </w:r>
      <w:r w:rsidRPr="0076482D">
        <w:rPr>
          <w:noProof/>
          <w:lang w:val="en-GB"/>
        </w:rPr>
        <w:t>(Page, Trudgett</w:t>
      </w:r>
      <w:r w:rsidR="004B0D81" w:rsidRPr="0076482D">
        <w:rPr>
          <w:noProof/>
          <w:lang w:val="en-GB"/>
        </w:rPr>
        <w:t xml:space="preserve"> </w:t>
      </w:r>
      <w:r w:rsidRPr="0076482D">
        <w:rPr>
          <w:noProof/>
          <w:lang w:val="en-GB"/>
        </w:rPr>
        <w:t>&amp; Bodkin-Andrews 2016)</w:t>
      </w:r>
      <w:r w:rsidRPr="0076482D">
        <w:rPr>
          <w:lang w:val="en-GB"/>
        </w:rPr>
        <w:fldChar w:fldCharType="end"/>
      </w:r>
      <w:r w:rsidRPr="0076482D">
        <w:rPr>
          <w:lang w:val="en-GB"/>
        </w:rPr>
        <w:t xml:space="preserve">. We are seeking to avoid the ‘bolted on’ curriculum </w:t>
      </w:r>
      <w:r w:rsidRPr="0076482D">
        <w:rPr>
          <w:lang w:val="en-GB"/>
        </w:rPr>
        <w:fldChar w:fldCharType="begin" w:fldLock="1"/>
      </w:r>
      <w:r w:rsidRPr="0076482D">
        <w:rPr>
          <w:lang w:val="en-GB"/>
        </w:rPr>
        <w:instrText>ADDIN CSL_CITATION { "citationItems" : [ { "id" : "ITEM-1", "itemData" : { "abstract" : "The aim of this report is to review Australian Indigenous higher education. The report will cover a literature review, development of indigenous staff, curriculum, culture of universities, ethics and research practices and some recommendations to government on what should be considered in a review of such a subject.", "author" : [ { "dropping-particle" : "", "family" : "Rigney", "given" : "Lester-Irabinna", "non-dropping-particle" : "", "parse-names" : false, "suffix" : "" } ], "id" : "ITEM-1", "issue" : "May", "issued" : { "date-parts" : [ [ "2011" ] ] }, "page" : "1-24", "title" : "Indigenous higher education reform and Indigenous knowledges", "type" : "article" }, "uris" : [ "http://www.mendeley.com/documents/?uuid=41892af8-0b48-4269-92da-266081f8b1ed" ] } ], "mendeley" : { "formattedCitation" : "(Rigney 2011)", "plainTextFormattedCitation" : "(Rigney 2011)", "previouslyFormattedCitation" : "(Rigney 2011)" }, "properties" : { "noteIndex" : 0 }, "schema" : "https://github.com/citation-style-language/schema/raw/master/csl-citation.json" }</w:instrText>
      </w:r>
      <w:r w:rsidRPr="0076482D">
        <w:rPr>
          <w:lang w:val="en-GB"/>
        </w:rPr>
        <w:fldChar w:fldCharType="separate"/>
      </w:r>
      <w:r w:rsidRPr="0076482D">
        <w:rPr>
          <w:noProof/>
          <w:lang w:val="en-GB"/>
        </w:rPr>
        <w:t>(Rigney 2011)</w:t>
      </w:r>
      <w:r w:rsidRPr="0076482D">
        <w:rPr>
          <w:lang w:val="en-GB"/>
        </w:rPr>
        <w:fldChar w:fldCharType="end"/>
      </w:r>
      <w:r w:rsidRPr="0076482D">
        <w:rPr>
          <w:lang w:val="en-GB"/>
        </w:rPr>
        <w:t xml:space="preserve">. The degree to which all institutions are successful has considerable implications for Indigenous communities and </w:t>
      </w:r>
      <w:r w:rsidR="00491605" w:rsidRPr="0076482D">
        <w:rPr>
          <w:lang w:val="en-GB"/>
        </w:rPr>
        <w:t xml:space="preserve">this </w:t>
      </w:r>
      <w:r w:rsidRPr="0076482D">
        <w:rPr>
          <w:lang w:val="en-GB"/>
        </w:rPr>
        <w:t xml:space="preserve">is why now, more than ever, the scholarship of both teaching and learning is critical. Unless we understand how students </w:t>
      </w:r>
      <w:r w:rsidR="00491605" w:rsidRPr="0076482D">
        <w:rPr>
          <w:lang w:val="en-GB"/>
        </w:rPr>
        <w:t>“</w:t>
      </w:r>
      <w:r w:rsidRPr="0076482D">
        <w:rPr>
          <w:lang w:val="en-GB"/>
        </w:rPr>
        <w:t>grapple with the difficult, threatening, and exhilarating process of learning</w:t>
      </w:r>
      <w:r w:rsidR="00491605" w:rsidRPr="0076482D">
        <w:rPr>
          <w:lang w:val="en-GB"/>
        </w:rPr>
        <w:t>”</w:t>
      </w:r>
      <w:r w:rsidRPr="0076482D">
        <w:rPr>
          <w:lang w:val="en-GB"/>
        </w:rPr>
        <w:t xml:space="preserve"> </w:t>
      </w:r>
      <w:r w:rsidRPr="0076482D">
        <w:rPr>
          <w:lang w:val="en-GB"/>
        </w:rPr>
        <w:lastRenderedPageBreak/>
        <w:t xml:space="preserve">it will be difficult to teach well </w:t>
      </w:r>
      <w:r w:rsidRPr="0076482D">
        <w:rPr>
          <w:lang w:val="en-GB"/>
        </w:rPr>
        <w:fldChar w:fldCharType="begin" w:fldLock="1"/>
      </w:r>
      <w:r w:rsidRPr="0076482D">
        <w:rPr>
          <w:lang w:val="en-GB"/>
        </w:rPr>
        <w:instrText>ADDIN CSL_CITATION { "citationItems" : [ { "id" : "ITEM-1", "itemData" : { "DOI" : "10.1002/chp.1340180402", "ISBN" : "0894191208941", "ISSN" : "1554-558X", "PMID" : "206785153", "abstract" : "The concept of critical reflection is frequently invoked as a distinguishing feature of good practice in continuing health education. But what exactly is critical reflection? How is it recognized? What are its benefits? How can it be incorporated into professional practice? This article explains the constituent elements of critical reflection and provides an example of how a critically reflective approach can be taken toward continuous, formative evaluation. Four lenses through which educators can view their practice critically are outlined and the critical incident questionnaire is described. The critically reflective habit is proposed as a survival necessity for continuing health educators.", "author" : [ { "dropping-particle" : "", "family" : "Brookfield", "given" : "Stephen", "non-dropping-particle" : "", "parse-names" : false, "suffix" : "" } ], "container-title" : "Journal of Continuing Education in the Health Professions", "id" : "ITEM-1", "issue" : "4", "issued" : { "date-parts" : [ [ "1998" ] ] }, "page" : "197-205", "title" : "Critically reflective practice", "type" : "article-journal", "volume" : "18" }, "uris" : [ "http://www.mendeley.com/documents/?uuid=208696a0-c9a4-4bc6-aaca-20bc67ce5ff8" ] } ], "mendeley" : { "formattedCitation" : "(Brookfield 1998)", "manualFormatting" : "(Brookfield, 1998, 199)", "plainTextFormattedCitation" : "(Brookfield 1998)", "previouslyFormattedCitation" : "(Brookfield 1998)" }, "properties" : { "noteIndex" : 0 }, "schema" : "https://github.com/citation-style-language/schema/raw/master/csl-citation.json" }</w:instrText>
      </w:r>
      <w:r w:rsidRPr="0076482D">
        <w:rPr>
          <w:lang w:val="en-GB"/>
        </w:rPr>
        <w:fldChar w:fldCharType="separate"/>
      </w:r>
      <w:r w:rsidRPr="0076482D">
        <w:rPr>
          <w:noProof/>
          <w:lang w:val="en-GB"/>
        </w:rPr>
        <w:t>(Brookfield 1998, 199)</w:t>
      </w:r>
      <w:r w:rsidRPr="0076482D">
        <w:rPr>
          <w:lang w:val="en-GB"/>
        </w:rPr>
        <w:fldChar w:fldCharType="end"/>
      </w:r>
      <w:r w:rsidRPr="0076482D">
        <w:rPr>
          <w:lang w:val="en-GB"/>
        </w:rPr>
        <w:t xml:space="preserve">. While teaching and curriculum development is crucial </w:t>
      </w:r>
      <w:r w:rsidR="003A1D15" w:rsidRPr="0076482D">
        <w:rPr>
          <w:lang w:val="en-GB"/>
        </w:rPr>
        <w:t>in Australia</w:t>
      </w:r>
      <w:r w:rsidRPr="0076482D">
        <w:rPr>
          <w:lang w:val="en-GB"/>
        </w:rPr>
        <w:t xml:space="preserve">, researching what </w:t>
      </w:r>
      <w:r w:rsidR="003A1D15" w:rsidRPr="0076482D">
        <w:rPr>
          <w:lang w:val="en-GB"/>
        </w:rPr>
        <w:t>constitutes</w:t>
      </w:r>
      <w:r w:rsidRPr="0076482D">
        <w:rPr>
          <w:lang w:val="en-GB"/>
        </w:rPr>
        <w:t xml:space="preserve"> redress for institutional failure to meet the aspirations of Indigenous peoples and social experiment, is vital. </w:t>
      </w:r>
    </w:p>
    <w:p w14:paraId="408010B6" w14:textId="77777777" w:rsidR="00442052" w:rsidRPr="0076482D" w:rsidRDefault="00442052" w:rsidP="005D7C69">
      <w:pPr>
        <w:pStyle w:val="Body"/>
        <w:spacing w:after="0"/>
        <w:jc w:val="both"/>
        <w:rPr>
          <w:lang w:val="en-GB"/>
        </w:rPr>
      </w:pPr>
    </w:p>
    <w:p w14:paraId="0C0DEB77" w14:textId="4C9CC669" w:rsidR="00442052" w:rsidRPr="0076482D" w:rsidRDefault="00442052" w:rsidP="001242E8">
      <w:pPr>
        <w:pStyle w:val="Body"/>
        <w:spacing w:after="0"/>
        <w:jc w:val="both"/>
        <w:rPr>
          <w:lang w:val="en-GB"/>
        </w:rPr>
      </w:pPr>
      <w:r w:rsidRPr="0076482D">
        <w:rPr>
          <w:lang w:val="en-GB"/>
        </w:rPr>
        <w:t xml:space="preserve">The transformative project outlined by Universities Australia and being attempted by universities, is deeply aspirational but less than well defined. Beyond a “coherent sector-wide initiative that binds all universities together with common goals” (Universities Australia </w:t>
      </w:r>
      <w:r w:rsidR="002A34C8" w:rsidRPr="0076482D">
        <w:rPr>
          <w:lang w:val="en-GB"/>
        </w:rPr>
        <w:t>2017:10</w:t>
      </w:r>
      <w:r w:rsidRPr="0076482D">
        <w:rPr>
          <w:lang w:val="en-GB"/>
        </w:rPr>
        <w:t xml:space="preserve">) there is, as yet, little guidance as to how this outcome will be achieved. However, the magnitude of the project </w:t>
      </w:r>
      <w:r w:rsidRPr="0076482D">
        <w:rPr>
          <w:i/>
          <w:lang w:val="en-GB"/>
        </w:rPr>
        <w:t>is</w:t>
      </w:r>
      <w:r w:rsidRPr="0076482D">
        <w:rPr>
          <w:lang w:val="en-GB"/>
        </w:rPr>
        <w:t xml:space="preserve"> evident. Reform which includes all students is challenging for institutions, and raises some particularly </w:t>
      </w:r>
      <w:r w:rsidR="00EE2B57" w:rsidRPr="0076482D">
        <w:rPr>
          <w:lang w:val="en-GB"/>
        </w:rPr>
        <w:t>interesting possibilities for SO</w:t>
      </w:r>
      <w:r w:rsidRPr="0076482D">
        <w:rPr>
          <w:lang w:val="en-GB"/>
        </w:rPr>
        <w:t xml:space="preserve">TL. What is suggested in the </w:t>
      </w:r>
      <w:r w:rsidRPr="0076482D">
        <w:rPr>
          <w:i/>
          <w:lang w:val="en-GB"/>
        </w:rPr>
        <w:t>Indigenous Strategy</w:t>
      </w:r>
      <w:r w:rsidRPr="0076482D">
        <w:rPr>
          <w:lang w:val="en-GB"/>
        </w:rPr>
        <w:t xml:space="preserve"> is that</w:t>
      </w:r>
      <w:r w:rsidR="002A34C8" w:rsidRPr="0076482D">
        <w:rPr>
          <w:lang w:val="en-GB"/>
        </w:rPr>
        <w:t>,</w:t>
      </w:r>
      <w:r w:rsidRPr="0076482D">
        <w:rPr>
          <w:lang w:val="en-GB"/>
        </w:rPr>
        <w:t xml:space="preserve"> through their teaching and research (and research into teaching) program</w:t>
      </w:r>
      <w:r w:rsidR="002A34C8" w:rsidRPr="0076482D">
        <w:rPr>
          <w:lang w:val="en-GB"/>
        </w:rPr>
        <w:t>me</w:t>
      </w:r>
      <w:r w:rsidRPr="0076482D">
        <w:rPr>
          <w:lang w:val="en-GB"/>
        </w:rPr>
        <w:t>s</w:t>
      </w:r>
      <w:r w:rsidR="002A34C8" w:rsidRPr="0076482D">
        <w:rPr>
          <w:lang w:val="en-GB"/>
        </w:rPr>
        <w:t>,</w:t>
      </w:r>
      <w:r w:rsidRPr="0076482D">
        <w:rPr>
          <w:lang w:val="en-GB"/>
        </w:rPr>
        <w:t xml:space="preserve"> universities will contribute to the “social, cultural and economic development of, with and by Australia’s diverse Aboriginal and Torres Strait Islander communities” (</w:t>
      </w:r>
      <w:r w:rsidR="002A34C8" w:rsidRPr="0076482D">
        <w:rPr>
          <w:lang w:val="en-GB"/>
        </w:rPr>
        <w:t>Universities Australia 2017:</w:t>
      </w:r>
      <w:r w:rsidRPr="0076482D">
        <w:rPr>
          <w:lang w:val="en-GB"/>
        </w:rPr>
        <w:t>16). This responds, hopefully, to Indigenous peoples questioning of t</w:t>
      </w:r>
      <w:r w:rsidR="009A12ED" w:rsidRPr="0076482D">
        <w:rPr>
          <w:lang w:val="en-GB"/>
        </w:rPr>
        <w:t xml:space="preserve">he value of sharing Indigenous </w:t>
      </w:r>
      <w:r w:rsidRPr="0076482D">
        <w:rPr>
          <w:lang w:val="en-GB"/>
        </w:rPr>
        <w:t>knowledge without tran</w:t>
      </w:r>
      <w:r w:rsidR="009A12ED" w:rsidRPr="0076482D">
        <w:rPr>
          <w:lang w:val="en-GB"/>
        </w:rPr>
        <w:t xml:space="preserve">sforming both our institutions </w:t>
      </w:r>
      <w:r w:rsidRPr="0076482D">
        <w:rPr>
          <w:lang w:val="en-GB"/>
        </w:rPr>
        <w:t xml:space="preserve">and our societies </w:t>
      </w:r>
      <w:r w:rsidRPr="0076482D">
        <w:rPr>
          <w:lang w:val="en-GB"/>
        </w:rPr>
        <w:fldChar w:fldCharType="begin" w:fldLock="1"/>
      </w:r>
      <w:r w:rsidRPr="0076482D">
        <w:rPr>
          <w:lang w:val="en-GB"/>
        </w:rPr>
        <w:instrText>ADDIN CSL_CITATION { "citationItems" : [ { "id" : "ITEM-1", "itemData" : { "ISBN" : "1326-0111", "PMID" : "656204016604184", "abstract" : "This paper raises issues pertaining to our collective responsibilities in nurturing the next generation of Indigenous scholars. It highlights aspects of current theorising of Indigenity, namely, the search for 'epistemological equity' through reclamation of identity, knowledge and politics of embodiment; and discusses how knowledge about our own existence, realities and identities can help produce a form of knowing legitimate in its own right and able to contest other ways of knowing. The paper concludes with what I see as some of the pedagogical possibilities of anti-colonial education using the Indigenous framework.", "author" : [ { "dropping-particle" : "", "family" : "Sefa Dei", "given" : "George J", "non-dropping-particle" : "", "parse-names" : false, "suffix" : "" } ], "container-title" : "The Australian Journal of Indigenous Education", "id" : "ITEM-1", "issue" : "Supplementary", "issued" : { "date-parts" : [ [ "2008" ] ] }, "page" : "5-13", "title" : "Indigenous knowledge studies and the next generation: Pedagogical possibilites for anti-colonial education", "type" : "article-journal", "volume" : "37" }, "uris" : [ "http://www.mendeley.com/documents/?uuid=e80e2c29-5f2f-4a1e-b36e-55934eb129ef" ] } ], "mendeley" : { "formattedCitation" : "(Sefa Dei 2008)", "plainTextFormattedCitation" : "(Sefa Dei 2008)", "previouslyFormattedCitation" : "(Sefa Dei 2008)" }, "properties" : { "noteIndex" : 0 }, "schema" : "https://github.com/citation-style-language/schema/raw/master/csl-citation.json" }</w:instrText>
      </w:r>
      <w:r w:rsidRPr="0076482D">
        <w:rPr>
          <w:lang w:val="en-GB"/>
        </w:rPr>
        <w:fldChar w:fldCharType="separate"/>
      </w:r>
      <w:r w:rsidRPr="0076482D">
        <w:rPr>
          <w:noProof/>
          <w:lang w:val="en-GB"/>
        </w:rPr>
        <w:t>(Sefa Dei 2008)</w:t>
      </w:r>
      <w:r w:rsidRPr="0076482D">
        <w:rPr>
          <w:lang w:val="en-GB"/>
        </w:rPr>
        <w:fldChar w:fldCharType="end"/>
      </w:r>
      <w:r w:rsidRPr="0076482D">
        <w:rPr>
          <w:lang w:val="en-GB"/>
        </w:rPr>
        <w:t xml:space="preserve">. Four types of transformation are required; curriculum, student, institution, and nation. All four coalesce to create the transformative learning envisaged by </w:t>
      </w:r>
      <w:proofErr w:type="spellStart"/>
      <w:r w:rsidRPr="0076482D">
        <w:rPr>
          <w:lang w:val="en-GB"/>
        </w:rPr>
        <w:t>Mezirow</w:t>
      </w:r>
      <w:proofErr w:type="spellEnd"/>
      <w:r w:rsidRPr="0076482D">
        <w:rPr>
          <w:lang w:val="en-GB"/>
        </w:rPr>
        <w:t xml:space="preserve"> (</w:t>
      </w:r>
      <w:r w:rsidRPr="0076482D">
        <w:rPr>
          <w:lang w:val="en-GB"/>
        </w:rPr>
        <w:fldChar w:fldCharType="begin" w:fldLock="1"/>
      </w:r>
      <w:r w:rsidRPr="0076482D">
        <w:rPr>
          <w:lang w:val="en-GB"/>
        </w:rPr>
        <w:instrText>ADDIN CSL_CITATION { "citationItems" : [ { "id" : "ITEM-1", "itemData" : { "DOI" : "10.1177/1541344603252172", "ISBN" : "1541344604268", "ISSN" : "15413446", "PMID" : "229", "abstract" : "this article presents an elaboration of the epistemology of transformative learning in adult education. Transformative learning is understood as a uniquely adult form of metacognitive reasoning. Reasoning is the process of advancing and assessing reasons, especially those that provide arguments supporting beliefs resulting in decisions to act. Beliefs are justified when they are based on good reasons. The process of reasoning may involve such tacit knowledge as aptitudes, skills, and competencies. The article examines the nature of reasoning within the context of critical-dialectical discourse\u2014the intersubjective process of communicative learning by which adults assess beliefs\u2014and its implications for democratic citizenship and adult education.", "author" : [ { "dropping-particle" : "", "family" : "Mezirow", "given" : "Jack", "non-dropping-particle" : "", "parse-names" : false, "suffix" : "" } ], "container-title" : "Journal of Transformative Education", "id" : "ITEM-1", "issue" : "1", "issued" : { "date-parts" : [ [ "2003" ] ] }, "page" : "58-63", "title" : "Transformative Learning as Discourse", "type" : "article-journal", "volume" : "1" }, "uris" : [ "http://www.mendeley.com/documents/?uuid=71f9b21f-ffff-4563-848f-654d30024b12" ] } ], "mendeley" : { "formattedCitation" : "(Mezirow 2003)", "manualFormatting" : "2003)", "plainTextFormattedCitation" : "(Mezirow 2003)", "previouslyFormattedCitation" : "(Mezirow 2003)" }, "properties" : { "noteIndex" : 0 }, "schema" : "https://github.com/citation-style-language/schema/raw/master/csl-citation.json" }</w:instrText>
      </w:r>
      <w:r w:rsidRPr="0076482D">
        <w:rPr>
          <w:lang w:val="en-GB"/>
        </w:rPr>
        <w:fldChar w:fldCharType="separate"/>
      </w:r>
      <w:r w:rsidRPr="0076482D">
        <w:rPr>
          <w:noProof/>
          <w:lang w:val="en-GB"/>
        </w:rPr>
        <w:t>2003)</w:t>
      </w:r>
      <w:r w:rsidRPr="0076482D">
        <w:rPr>
          <w:lang w:val="en-GB"/>
        </w:rPr>
        <w:fldChar w:fldCharType="end"/>
      </w:r>
      <w:r w:rsidRPr="0076482D">
        <w:rPr>
          <w:lang w:val="en-GB"/>
        </w:rPr>
        <w:t>, in which adults hone critical self-reflection skills and sharper judgement through education, potentially realising a fairer world. At the very least</w:t>
      </w:r>
      <w:r w:rsidR="003C0ED4" w:rsidRPr="0076482D">
        <w:rPr>
          <w:lang w:val="en-GB"/>
        </w:rPr>
        <w:t>,</w:t>
      </w:r>
      <w:r w:rsidRPr="0076482D">
        <w:rPr>
          <w:lang w:val="en-GB"/>
        </w:rPr>
        <w:t xml:space="preserve"> the institutional and classroom dialogues sparked by the </w:t>
      </w:r>
      <w:r w:rsidRPr="0076482D">
        <w:rPr>
          <w:i/>
          <w:lang w:val="en-GB"/>
        </w:rPr>
        <w:t>Indigenous Strategy</w:t>
      </w:r>
      <w:r w:rsidRPr="0076482D">
        <w:rPr>
          <w:lang w:val="en-GB"/>
        </w:rPr>
        <w:t xml:space="preserve"> should contribute to discursive environments considered critical to transformation (</w:t>
      </w:r>
      <w:proofErr w:type="spellStart"/>
      <w:r w:rsidRPr="0076482D">
        <w:rPr>
          <w:lang w:val="en-GB"/>
        </w:rPr>
        <w:t>Mezirow</w:t>
      </w:r>
      <w:proofErr w:type="spellEnd"/>
      <w:r w:rsidRPr="0076482D">
        <w:rPr>
          <w:lang w:val="en-GB"/>
        </w:rPr>
        <w:t xml:space="preserve"> 1997).</w:t>
      </w:r>
    </w:p>
    <w:p w14:paraId="0D0EE370" w14:textId="77777777" w:rsidR="00442052" w:rsidRPr="0076482D" w:rsidRDefault="00442052">
      <w:pPr>
        <w:pStyle w:val="Body"/>
        <w:spacing w:after="0"/>
        <w:jc w:val="both"/>
        <w:rPr>
          <w:lang w:val="en-GB"/>
        </w:rPr>
      </w:pPr>
    </w:p>
    <w:p w14:paraId="0F3803CD" w14:textId="54708FC4" w:rsidR="00442052" w:rsidRPr="0076482D" w:rsidRDefault="00442052">
      <w:pPr>
        <w:pStyle w:val="Body"/>
        <w:spacing w:after="0"/>
        <w:jc w:val="both"/>
        <w:rPr>
          <w:lang w:val="en-GB"/>
        </w:rPr>
      </w:pPr>
      <w:r w:rsidRPr="0076482D">
        <w:rPr>
          <w:lang w:val="en-GB"/>
        </w:rPr>
        <w:t>It is against this background that I now return to the question posed earlier about the challenges to student learning in Indigenous Studies and the teaching and learning research project that has grown from a generalised wondering to a systematic inquiry, m</w:t>
      </w:r>
      <w:r w:rsidR="009A12ED" w:rsidRPr="0076482D">
        <w:rPr>
          <w:lang w:val="en-GB"/>
        </w:rPr>
        <w:t xml:space="preserve">uch as Boyer (1990) envisaged. </w:t>
      </w:r>
      <w:r w:rsidRPr="0076482D">
        <w:rPr>
          <w:lang w:val="en-GB"/>
        </w:rPr>
        <w:t>From an array of potential research methods which might have been brought to bear on such a question, I chose one that was novel and emerging. In the context of this paper it is worth noting that I was first introduced to threshold concepts at the 2010 ISSOTL conference where I was struck by the idea of there being discipline</w:t>
      </w:r>
      <w:r w:rsidR="003C0ED4" w:rsidRPr="0076482D">
        <w:rPr>
          <w:lang w:val="en-GB"/>
        </w:rPr>
        <w:t>-</w:t>
      </w:r>
      <w:r w:rsidRPr="0076482D">
        <w:rPr>
          <w:lang w:val="en-GB"/>
        </w:rPr>
        <w:t xml:space="preserve">specific concepts, in particular tacit ideas, which we as teachers might not explicitly teach, which </w:t>
      </w:r>
      <w:r w:rsidR="004627BD" w:rsidRPr="0076482D">
        <w:rPr>
          <w:lang w:val="en-GB"/>
        </w:rPr>
        <w:t xml:space="preserve">are </w:t>
      </w:r>
      <w:r w:rsidRPr="0076482D">
        <w:rPr>
          <w:lang w:val="en-GB"/>
        </w:rPr>
        <w:t>nevertheless critical to student learning. A seminar given by Erik Meyer at my home institution in 2012, further captured my imagination and laid the foundation for what would become my doctoral project, perhaps underlining the value of broad dissemination of teaching research.</w:t>
      </w:r>
    </w:p>
    <w:p w14:paraId="72F68737" w14:textId="77777777" w:rsidR="00442052" w:rsidRPr="0076482D" w:rsidRDefault="00442052" w:rsidP="005D7C69">
      <w:pPr>
        <w:pStyle w:val="Body"/>
        <w:spacing w:after="0"/>
        <w:jc w:val="both"/>
        <w:rPr>
          <w:lang w:val="en-GB"/>
        </w:rPr>
      </w:pPr>
    </w:p>
    <w:p w14:paraId="76AE4E93" w14:textId="3731CDFC" w:rsidR="00442052" w:rsidRPr="0076482D" w:rsidRDefault="00442052" w:rsidP="005D7C69">
      <w:pPr>
        <w:pStyle w:val="Body"/>
        <w:spacing w:after="0"/>
        <w:jc w:val="both"/>
        <w:rPr>
          <w:color w:val="0E0E0E"/>
          <w:u w:color="0E0E0E"/>
          <w:lang w:val="en-GB"/>
        </w:rPr>
      </w:pPr>
      <w:r w:rsidRPr="0076482D">
        <w:rPr>
          <w:lang w:val="en-GB"/>
        </w:rPr>
        <w:t>The implicit constructivist theoretical underpinnings of the threshold concepts framework reflects my conception of learning as knowledge being created by individuals and not simply transferred from teacher to learner</w:t>
      </w:r>
      <w:r w:rsidR="00671DAA" w:rsidRPr="0076482D">
        <w:rPr>
          <w:lang w:val="en-GB"/>
        </w:rPr>
        <w:t>;</w:t>
      </w:r>
      <w:r w:rsidRPr="0076482D">
        <w:rPr>
          <w:lang w:val="en-GB"/>
        </w:rPr>
        <w:t xml:space="preserve"> rather</w:t>
      </w:r>
      <w:r w:rsidR="00671DAA" w:rsidRPr="0076482D">
        <w:rPr>
          <w:lang w:val="en-GB"/>
        </w:rPr>
        <w:t>,</w:t>
      </w:r>
      <w:r w:rsidRPr="0076482D">
        <w:rPr>
          <w:lang w:val="en-GB"/>
        </w:rPr>
        <w:t xml:space="preserve"> the learner creates understandings in their own minds through interaction with the teacher and instruction (Hendry, </w:t>
      </w:r>
      <w:proofErr w:type="spellStart"/>
      <w:r w:rsidRPr="0076482D">
        <w:rPr>
          <w:lang w:val="en-GB"/>
        </w:rPr>
        <w:t>Frommer</w:t>
      </w:r>
      <w:proofErr w:type="spellEnd"/>
      <w:r w:rsidR="00671DAA" w:rsidRPr="0076482D">
        <w:rPr>
          <w:lang w:val="en-GB"/>
        </w:rPr>
        <w:t xml:space="preserve"> &amp; </w:t>
      </w:r>
      <w:r w:rsidRPr="0076482D">
        <w:rPr>
          <w:lang w:val="en-GB"/>
        </w:rPr>
        <w:t xml:space="preserve">Walker 1999). </w:t>
      </w:r>
      <w:r w:rsidRPr="0076482D">
        <w:rPr>
          <w:color w:val="0E0E0E"/>
          <w:u w:color="0E0E0E"/>
          <w:lang w:val="en-GB"/>
        </w:rPr>
        <w:t>The threshold concepts framework was first introduced in the early 2000s (Meyer &amp; Land</w:t>
      </w:r>
      <w:r w:rsidR="00671DAA" w:rsidRPr="0076482D">
        <w:rPr>
          <w:color w:val="0E0E0E"/>
          <w:u w:color="0E0E0E"/>
          <w:lang w:val="en-GB"/>
        </w:rPr>
        <w:t xml:space="preserve"> </w:t>
      </w:r>
      <w:r w:rsidRPr="0076482D">
        <w:rPr>
          <w:color w:val="0E0E0E"/>
          <w:u w:color="0E0E0E"/>
          <w:lang w:val="en-GB"/>
        </w:rPr>
        <w:t xml:space="preserve">2003) and as such is a relatively recent development in the broad field of higher education learning and teaching scholarship. Threshold concepts are ideas that foster students’ ability to think like a discipline expert and are deemed to be critical to learning, developing and mastery in a particular discipline </w:t>
      </w:r>
      <w:r w:rsidRPr="0076482D">
        <w:rPr>
          <w:color w:val="0E0E0E"/>
          <w:u w:color="0E0E0E"/>
          <w:lang w:val="en-GB"/>
        </w:rPr>
        <w:fldChar w:fldCharType="begin" w:fldLock="1"/>
      </w:r>
      <w:r w:rsidRPr="0076482D">
        <w:rPr>
          <w:color w:val="0E0E0E"/>
          <w:u w:color="0E0E0E"/>
          <w:lang w:val="en-GB"/>
        </w:rPr>
        <w:instrText>ADDIN CSL_CITATION { "citationItems" : [ { "id" : "ITEM-1", "itemData" : { "author" : [ { "dropping-particle" : "", "family" : "Cousin", "given" : "Glynis", "non-dropping-particle" : "", "parse-names" : false, "suffix" : "" } ], "container-title" : "Planet", "id" : "ITEM-1", "issue" : "17", "issued" : { "date-parts" : [ [ "2006" ] ] }, "page" : "4-6", "title" : "An Introduction to threshold concepts.", "type" : "article-journal" }, "uris" : [ "http://www.mendeley.com/documents/?uuid=e5060666-3c35-405e-8010-317d3c91031e" ] } ], "mendeley" : { "formattedCitation" : "(Cousin 2006)", "plainTextFormattedCitation" : "(Cousin 2006)", "previouslyFormattedCitation" : "(Cousin 2006)" }, "properties" : { "noteIndex" : 0 }, "schema" : "https://github.com/citation-style-language/schema/raw/master/csl-citation.json" }</w:instrText>
      </w:r>
      <w:r w:rsidRPr="0076482D">
        <w:rPr>
          <w:color w:val="0E0E0E"/>
          <w:u w:color="0E0E0E"/>
          <w:lang w:val="en-GB"/>
        </w:rPr>
        <w:fldChar w:fldCharType="separate"/>
      </w:r>
      <w:r w:rsidRPr="0076482D">
        <w:rPr>
          <w:noProof/>
          <w:color w:val="0E0E0E"/>
          <w:u w:color="0E0E0E"/>
          <w:lang w:val="en-GB"/>
        </w:rPr>
        <w:t>(Cousin 2006)</w:t>
      </w:r>
      <w:r w:rsidRPr="0076482D">
        <w:rPr>
          <w:color w:val="0E0E0E"/>
          <w:u w:color="0E0E0E"/>
          <w:lang w:val="en-GB"/>
        </w:rPr>
        <w:fldChar w:fldCharType="end"/>
      </w:r>
      <w:r w:rsidRPr="0076482D">
        <w:rPr>
          <w:color w:val="0E0E0E"/>
          <w:u w:color="0E0E0E"/>
          <w:lang w:val="en-GB"/>
        </w:rPr>
        <w:t xml:space="preserve">. A threshold concept has a number of defining characteristics, including that it must be transformative, bounded, integrative, irreversible and deal with troublesome knowledge </w:t>
      </w:r>
      <w:r w:rsidRPr="0076482D">
        <w:rPr>
          <w:color w:val="0E0E0E"/>
          <w:u w:color="0E0E0E"/>
          <w:lang w:val="en-GB"/>
        </w:rPr>
        <w:fldChar w:fldCharType="begin" w:fldLock="1"/>
      </w:r>
      <w:r w:rsidRPr="0076482D">
        <w:rPr>
          <w:color w:val="0E0E0E"/>
          <w:u w:color="0E0E0E"/>
          <w:lang w:val="en-GB"/>
        </w:rPr>
        <w:instrText>ADDIN CSL_CITATION { "citationItems" : [ { "id" : "ITEM-1", "itemData" : { "DOI" : "10.1007/978-3-8348-9837-1", "ISBN" : "9783834898371", "ISSN" : "0018-1560", "abstract" : "This paper arises from ongoing research undertaken by the Economics team of the ESRC/ TLRP Project \u2018Enhancing Teaching and Learning Environments\u2019 (ETL)1. This forms part of the large scale ESRC Teaching and Learning Research Programme Phase 2. ETL is seeking to identify factors leading to high quality learning environments within five disciplinary contexts across a range of HE institutions. Meyer\u2019s notion of a threshold concept was introduced into project discussions on learning outcomes as a particular basis for differentiating between core learning outcomes that represent \u2018seeing things in a new way\u2019 and those that do not. A threshold concept is thus seen as something distinct within what university teachers would typically describe as \u2018core concepts\u2019. Furthermore, threshold concepts may represent, or lead to, what Perkins (1999) describes as \u2018troublesome knowledge\u2019 \u2014 knowledge that is conceptually difficult, counter-intuitive or \u2018alien\u2019. The paper attempts to define characteristics of threshold concepts and, in the light of Perkins\u2019 work, to indicate correspondences between the notion of threshold concepts and that of \u2018troublesome knowledge.\u2019", "author" : [ { "dropping-particle" : "", "family" : "Meyer", "given" : "J.H.F.", "non-dropping-particle" : "", "parse-names" : false, "suffix" : "" }, { "dropping-particle" : "", "family" : "Land", "given" : "Ray", "non-dropping-particle" : "", "parse-names" : false, "suffix" : "" } ], "container-title" : "Improving Student Learning \u2013 Ten Years On.", "editor" : [ { "dropping-particle" : "", "family" : "Rust", "given" : "C.", "non-dropping-particle" : "", "parse-names" : false, "suffix" : "" } ], "id" : "ITEM-1", "issued" : { "date-parts" : [ [ "2003" ] ] }, "page" : "1-16", "title" : "Threshold concepts and troublesome knowledge: Linkages to ways of thinking and practising within the disciplines", "type" : "chapter" }, "uris" : [ "http://www.mendeley.com/documents/?uuid=429467aa-cac6-49ce-ac9a-9f14ce4a945e" ] } ], "mendeley" : { "formattedCitation" : "(Meyer &amp; Land 2003)", "plainTextFormattedCitation" : "(Meyer &amp; Land 2003)", "previouslyFormattedCitation" : "(Meyer &amp; Land 2003)" }, "properties" : { "noteIndex" : 0 }, "schema" : "https://github.com/citation-style-language/schema/raw/master/csl-citation.json" }</w:instrText>
      </w:r>
      <w:r w:rsidRPr="0076482D">
        <w:rPr>
          <w:color w:val="0E0E0E"/>
          <w:u w:color="0E0E0E"/>
          <w:lang w:val="en-GB"/>
        </w:rPr>
        <w:fldChar w:fldCharType="separate"/>
      </w:r>
      <w:r w:rsidRPr="0076482D">
        <w:rPr>
          <w:noProof/>
          <w:color w:val="0E0E0E"/>
          <w:u w:color="0E0E0E"/>
          <w:lang w:val="en-GB"/>
        </w:rPr>
        <w:t>(Meyer &amp; Land 2003)</w:t>
      </w:r>
      <w:r w:rsidRPr="0076482D">
        <w:rPr>
          <w:color w:val="0E0E0E"/>
          <w:u w:color="0E0E0E"/>
          <w:lang w:val="en-GB"/>
        </w:rPr>
        <w:fldChar w:fldCharType="end"/>
      </w:r>
      <w:r w:rsidRPr="0076482D">
        <w:rPr>
          <w:color w:val="0E0E0E"/>
          <w:u w:color="0E0E0E"/>
          <w:lang w:val="en-GB"/>
        </w:rPr>
        <w:t>. These characteristics distinguish threshold concepts from more concrete foundational knowledge in a discipline, for example learning a formula in mathematics or knowing a set of dates in history.</w:t>
      </w:r>
    </w:p>
    <w:p w14:paraId="18095883" w14:textId="77777777" w:rsidR="00442052" w:rsidRPr="0076482D" w:rsidRDefault="00442052" w:rsidP="005D7C69">
      <w:pPr>
        <w:pStyle w:val="Body"/>
        <w:spacing w:after="0"/>
        <w:jc w:val="both"/>
        <w:rPr>
          <w:lang w:val="en-GB"/>
        </w:rPr>
      </w:pPr>
      <w:r w:rsidRPr="0076482D">
        <w:rPr>
          <w:color w:val="0E0E0E"/>
          <w:u w:color="0E0E0E"/>
          <w:lang w:val="en-GB"/>
        </w:rPr>
        <w:t xml:space="preserve"> </w:t>
      </w:r>
    </w:p>
    <w:p w14:paraId="39955DDA" w14:textId="234B4263" w:rsidR="00442052" w:rsidRPr="0076482D" w:rsidRDefault="00442052" w:rsidP="005D7C69">
      <w:pPr>
        <w:pStyle w:val="Body"/>
        <w:widowControl w:val="0"/>
        <w:spacing w:after="0"/>
        <w:jc w:val="both"/>
        <w:rPr>
          <w:color w:val="0E0E0E"/>
          <w:u w:color="0E0E0E"/>
          <w:lang w:val="en-GB"/>
        </w:rPr>
      </w:pPr>
      <w:r w:rsidRPr="0076482D">
        <w:rPr>
          <w:color w:val="0E0E0E"/>
          <w:u w:color="0E0E0E"/>
          <w:lang w:val="en-GB"/>
        </w:rPr>
        <w:lastRenderedPageBreak/>
        <w:t>Two ideas which seem to have resonance when I talk to colleagues about threshold concepts are the notions of troublesome knowledge (Perkins 2008), particularly those ideas which are counter-intuitive, and the liminal space (Meyer &amp; Land 2006)</w:t>
      </w:r>
      <w:r w:rsidR="009E0009" w:rsidRPr="0076482D">
        <w:rPr>
          <w:color w:val="0E0E0E"/>
          <w:u w:color="0E0E0E"/>
          <w:lang w:val="en-GB"/>
        </w:rPr>
        <w:t>,</w:t>
      </w:r>
      <w:r w:rsidRPr="0076482D">
        <w:rPr>
          <w:color w:val="0E0E0E"/>
          <w:u w:color="0E0E0E"/>
          <w:lang w:val="en-GB"/>
        </w:rPr>
        <w:t xml:space="preserve"> a metaphorical space in which students often vacillate before grasping key ideas. In this liminal space students will potentially grasp the new knowledge, integrating it into their thinking and understanding of the discipline. Failing to understand the concepts may potentially lead learners to resort to mimicry (Cousin 2006) without genuine understanding. My observation</w:t>
      </w:r>
      <w:r w:rsidR="009E0009" w:rsidRPr="0076482D">
        <w:rPr>
          <w:color w:val="0E0E0E"/>
          <w:u w:color="0E0E0E"/>
          <w:lang w:val="en-GB"/>
        </w:rPr>
        <w:t>,</w:t>
      </w:r>
      <w:r w:rsidRPr="0076482D">
        <w:rPr>
          <w:color w:val="0E0E0E"/>
          <w:u w:color="0E0E0E"/>
          <w:lang w:val="en-GB"/>
        </w:rPr>
        <w:t xml:space="preserve"> over many years as a teacher of Indigenous Studies</w:t>
      </w:r>
      <w:r w:rsidR="009E0009" w:rsidRPr="0076482D">
        <w:rPr>
          <w:color w:val="0E0E0E"/>
          <w:u w:color="0E0E0E"/>
          <w:lang w:val="en-GB"/>
        </w:rPr>
        <w:t>,</w:t>
      </w:r>
      <w:r w:rsidRPr="0076482D">
        <w:rPr>
          <w:color w:val="0E0E0E"/>
          <w:u w:color="0E0E0E"/>
          <w:lang w:val="en-GB"/>
        </w:rPr>
        <w:t xml:space="preserve"> is that many students struggle to move beyond simplified binary thinking and indeed resort to mimicry through writing what the teacher is perceived to desire. I was interested to investigate this phenomenon through research that involved the students’ individual expressions of experiences of learning in Indigenous Studies rather than analysis of the artefacts of learning (student assignments). </w:t>
      </w:r>
    </w:p>
    <w:p w14:paraId="323E39E1" w14:textId="77777777" w:rsidR="00442052" w:rsidRPr="0076482D" w:rsidRDefault="00442052" w:rsidP="005D7C69">
      <w:pPr>
        <w:pStyle w:val="Body"/>
        <w:widowControl w:val="0"/>
        <w:spacing w:after="0"/>
        <w:jc w:val="both"/>
        <w:rPr>
          <w:lang w:val="en-GB"/>
        </w:rPr>
      </w:pPr>
    </w:p>
    <w:p w14:paraId="183F43BC" w14:textId="1D434062" w:rsidR="00442052" w:rsidRPr="0076482D" w:rsidRDefault="00442052" w:rsidP="005D7C69">
      <w:pPr>
        <w:pStyle w:val="Body"/>
        <w:spacing w:after="0"/>
        <w:jc w:val="both"/>
        <w:rPr>
          <w:lang w:val="en-GB"/>
        </w:rPr>
      </w:pPr>
      <w:r w:rsidRPr="0076482D">
        <w:rPr>
          <w:lang w:val="en-GB"/>
        </w:rPr>
        <w:t>Here I will foreshadow a more full dissemination of the research findings – which address the question beginning the paper</w:t>
      </w:r>
      <w:r w:rsidR="009E0009" w:rsidRPr="0076482D">
        <w:rPr>
          <w:lang w:val="en-GB"/>
        </w:rPr>
        <w:t xml:space="preserve"> – </w:t>
      </w:r>
      <w:r w:rsidRPr="0076482D">
        <w:rPr>
          <w:lang w:val="en-GB"/>
        </w:rPr>
        <w:t>by sharing two things which have struck me; the breadth of the student struggle or liminality</w:t>
      </w:r>
      <w:r w:rsidR="008D2CFB" w:rsidRPr="0076482D">
        <w:rPr>
          <w:lang w:val="en-GB"/>
        </w:rPr>
        <w:t>,</w:t>
      </w:r>
      <w:r w:rsidRPr="0076482D">
        <w:rPr>
          <w:lang w:val="en-GB"/>
        </w:rPr>
        <w:t xml:space="preserve"> and the depth of the subsequent transformations. From the small cohort of students (ten) I interviewed for this qualitative project I have considered how superficially we come to ‘know’ our students through our classroom interactions and their responses to assigned tasks. Interviews allow a glimpse into a student’s world, beyond the discipline context, to which busy teachers are rarely privy. For many in this group of students, the struggle extended well beyond safe classrooms created by their teachers, to encompass interactions with their friends, families and everyday situations. Most came to see Indigenous peoples and themselves in profoundly different ways to their initial understandings; often with implications for the broader disciplinary contexts of their major areas of study. What initially began as a novel approach to researching challenges in learning which were </w:t>
      </w:r>
      <w:r w:rsidR="008D2CFB" w:rsidRPr="0076482D">
        <w:rPr>
          <w:lang w:val="en-GB"/>
        </w:rPr>
        <w:t xml:space="preserve">focussed on either the </w:t>
      </w:r>
      <w:r w:rsidRPr="0076482D">
        <w:rPr>
          <w:lang w:val="en-GB"/>
        </w:rPr>
        <w:t>student,</w:t>
      </w:r>
      <w:r w:rsidR="008D2CFB" w:rsidRPr="0076482D">
        <w:rPr>
          <w:lang w:val="en-GB"/>
        </w:rPr>
        <w:t xml:space="preserve"> the</w:t>
      </w:r>
      <w:r w:rsidRPr="0076482D">
        <w:rPr>
          <w:lang w:val="en-GB"/>
        </w:rPr>
        <w:t xml:space="preserve"> teacher </w:t>
      </w:r>
      <w:r w:rsidR="008D2CFB" w:rsidRPr="0076482D">
        <w:rPr>
          <w:lang w:val="en-GB"/>
        </w:rPr>
        <w:t xml:space="preserve">or the </w:t>
      </w:r>
      <w:r w:rsidRPr="0076482D">
        <w:rPr>
          <w:lang w:val="en-GB"/>
        </w:rPr>
        <w:t xml:space="preserve">discipline, ultimately yielded rich insights into the results of teaching. </w:t>
      </w:r>
    </w:p>
    <w:p w14:paraId="4E16325A" w14:textId="77777777" w:rsidR="00442052" w:rsidRPr="0076482D" w:rsidRDefault="00442052" w:rsidP="005D7C69">
      <w:pPr>
        <w:pStyle w:val="Body"/>
        <w:spacing w:after="0"/>
        <w:jc w:val="both"/>
        <w:rPr>
          <w:lang w:val="en-GB"/>
        </w:rPr>
      </w:pPr>
    </w:p>
    <w:p w14:paraId="4496833B" w14:textId="09C30D91" w:rsidR="00442052" w:rsidRPr="0076482D" w:rsidRDefault="00442052" w:rsidP="005D7C69">
      <w:pPr>
        <w:pStyle w:val="Body"/>
        <w:spacing w:after="0"/>
        <w:jc w:val="both"/>
        <w:rPr>
          <w:lang w:val="en-GB"/>
        </w:rPr>
      </w:pPr>
      <w:r w:rsidRPr="0076482D">
        <w:rPr>
          <w:lang w:val="en-GB"/>
        </w:rPr>
        <w:t xml:space="preserve">To conclude this piece I want to look to the field of research, as Boyer did in his original conceptions of the Scholarship of Teaching. Indigenous research is shifting from a pan-Indigenous focus to an increasingly differentiated, community or tribe focus (Bodkin-Andrews, Bodkin, </w:t>
      </w:r>
      <w:r w:rsidR="0082670A" w:rsidRPr="0076482D">
        <w:rPr>
          <w:lang w:val="en-GB"/>
        </w:rPr>
        <w:t xml:space="preserve">Andrews </w:t>
      </w:r>
      <w:r w:rsidRPr="0076482D">
        <w:rPr>
          <w:lang w:val="en-GB"/>
        </w:rPr>
        <w:t>&amp; Whittaker 2016). There is also some emphasis on tribal education (</w:t>
      </w:r>
      <w:proofErr w:type="spellStart"/>
      <w:r w:rsidRPr="0076482D">
        <w:rPr>
          <w:lang w:val="en-GB"/>
        </w:rPr>
        <w:t>Brayboy</w:t>
      </w:r>
      <w:proofErr w:type="spellEnd"/>
      <w:r w:rsidRPr="0076482D">
        <w:rPr>
          <w:lang w:val="en-GB"/>
        </w:rPr>
        <w:t xml:space="preserve"> 2013). </w:t>
      </w:r>
      <w:r w:rsidR="00EE2B57" w:rsidRPr="0076482D">
        <w:rPr>
          <w:lang w:val="en-GB"/>
        </w:rPr>
        <w:t>A SO</w:t>
      </w:r>
      <w:r w:rsidRPr="0076482D">
        <w:rPr>
          <w:lang w:val="en-GB"/>
        </w:rPr>
        <w:t xml:space="preserve">TL which is distinctly southern carves out a niche from which our scholarship might be combined to achieve a more distinctive and identifiable canon. </w:t>
      </w:r>
      <w:r w:rsidR="00EE2B57" w:rsidRPr="0076482D">
        <w:rPr>
          <w:lang w:val="en-GB"/>
        </w:rPr>
        <w:t>While SO</w:t>
      </w:r>
      <w:r w:rsidRPr="0076482D">
        <w:rPr>
          <w:lang w:val="en-GB"/>
        </w:rPr>
        <w:t>TL of the South is not exclusively Indigenous</w:t>
      </w:r>
      <w:r w:rsidR="001242E8" w:rsidRPr="0076482D">
        <w:rPr>
          <w:lang w:val="en-GB"/>
        </w:rPr>
        <w:t xml:space="preserve">, </w:t>
      </w:r>
      <w:r w:rsidRPr="0076482D">
        <w:rPr>
          <w:lang w:val="en-GB"/>
        </w:rPr>
        <w:t>and Indigenous Studies is not limited to the south, collectivity of this kind affords a prominence which is often difficult to find individually. My experience of a recent Australian higher</w:t>
      </w:r>
      <w:r w:rsidR="00341576" w:rsidRPr="0076482D">
        <w:rPr>
          <w:lang w:val="en-GB"/>
        </w:rPr>
        <w:t>-</w:t>
      </w:r>
      <w:r w:rsidRPr="0076482D">
        <w:rPr>
          <w:lang w:val="en-GB"/>
        </w:rPr>
        <w:t>education conference is that Indigenous scholarship</w:t>
      </w:r>
      <w:r w:rsidR="001242E8" w:rsidRPr="0076482D">
        <w:rPr>
          <w:lang w:val="en-GB"/>
        </w:rPr>
        <w:t xml:space="preserve">, </w:t>
      </w:r>
      <w:r w:rsidRPr="0076482D">
        <w:rPr>
          <w:lang w:val="en-GB"/>
        </w:rPr>
        <w:t>and scholarship about Indigenous issues</w:t>
      </w:r>
      <w:r w:rsidR="001242E8" w:rsidRPr="0076482D">
        <w:rPr>
          <w:lang w:val="en-GB"/>
        </w:rPr>
        <w:t>,</w:t>
      </w:r>
      <w:r w:rsidRPr="0076482D">
        <w:rPr>
          <w:lang w:val="en-GB"/>
        </w:rPr>
        <w:t xml:space="preserve"> is largely hidden. This is not to say that Indigenous scholars of teaching and learning are not publishing and sharing findings in conferences</w:t>
      </w:r>
      <w:r w:rsidR="001242E8" w:rsidRPr="0076482D">
        <w:rPr>
          <w:lang w:val="en-GB"/>
        </w:rPr>
        <w:t xml:space="preserve"> – </w:t>
      </w:r>
      <w:r w:rsidRPr="0076482D">
        <w:rPr>
          <w:lang w:val="en-GB"/>
        </w:rPr>
        <w:t>a ke</w:t>
      </w:r>
      <w:r w:rsidR="00EE2B57" w:rsidRPr="0076482D">
        <w:rPr>
          <w:lang w:val="en-GB"/>
        </w:rPr>
        <w:t>y feature of SO</w:t>
      </w:r>
      <w:r w:rsidRPr="0076482D">
        <w:rPr>
          <w:lang w:val="en-GB"/>
        </w:rPr>
        <w:t>TL</w:t>
      </w:r>
      <w:r w:rsidR="001242E8" w:rsidRPr="0076482D">
        <w:rPr>
          <w:lang w:val="en-GB"/>
        </w:rPr>
        <w:t xml:space="preserve"> – </w:t>
      </w:r>
      <w:r w:rsidRPr="0076482D">
        <w:rPr>
          <w:lang w:val="en-GB"/>
        </w:rPr>
        <w:t>rather that we are sometimes marginali</w:t>
      </w:r>
      <w:r w:rsidR="001242E8" w:rsidRPr="0076482D">
        <w:rPr>
          <w:lang w:val="en-GB"/>
        </w:rPr>
        <w:t>s</w:t>
      </w:r>
      <w:r w:rsidRPr="0076482D">
        <w:rPr>
          <w:lang w:val="en-GB"/>
        </w:rPr>
        <w:t>ed in scholarly communities. This does not have to be the case. At the Australian Association of Research in Education in 2016 there was a highly visible and enthusiastically attended series of Indigenous scholars and topics. Empirical research and the sharing of findings in communities of practice is needed if we are to further the transformative agenda put forward by Universities Australia and contribute to progressive pedagogies which address inequity across the south.</w:t>
      </w:r>
    </w:p>
    <w:p w14:paraId="0BC44C6D" w14:textId="77777777" w:rsidR="00ED159D" w:rsidRDefault="00ED159D">
      <w:pPr>
        <w:rPr>
          <w:rFonts w:ascii="Calibri" w:eastAsia="Calibri" w:hAnsi="Calibri" w:cs="Calibri"/>
          <w:b/>
          <w:color w:val="7B7B7B" w:themeColor="accent3" w:themeShade="BF"/>
          <w:sz w:val="24"/>
          <w:szCs w:val="24"/>
          <w:u w:color="000000"/>
          <w:bdr w:val="nil"/>
          <w:lang w:eastAsia="en-AU"/>
        </w:rPr>
      </w:pPr>
      <w:r>
        <w:rPr>
          <w:b/>
          <w:color w:val="7B7B7B" w:themeColor="accent3" w:themeShade="BF"/>
          <w:sz w:val="24"/>
          <w:szCs w:val="24"/>
        </w:rPr>
        <w:br w:type="page"/>
      </w:r>
    </w:p>
    <w:p w14:paraId="62028181" w14:textId="6CEAEE49" w:rsidR="00442052" w:rsidRPr="00EE2B57" w:rsidRDefault="00442052" w:rsidP="005D7C69">
      <w:pPr>
        <w:pStyle w:val="Body"/>
        <w:spacing w:line="240" w:lineRule="auto"/>
        <w:jc w:val="both"/>
        <w:rPr>
          <w:b/>
          <w:color w:val="7B7B7B" w:themeColor="accent3" w:themeShade="BF"/>
          <w:sz w:val="24"/>
          <w:szCs w:val="24"/>
          <w:lang w:val="en-GB"/>
        </w:rPr>
      </w:pPr>
      <w:r w:rsidRPr="00EE2B57">
        <w:rPr>
          <w:b/>
          <w:color w:val="7B7B7B" w:themeColor="accent3" w:themeShade="BF"/>
          <w:sz w:val="24"/>
          <w:szCs w:val="24"/>
          <w:lang w:val="en-GB"/>
        </w:rPr>
        <w:lastRenderedPageBreak/>
        <w:t>References</w:t>
      </w:r>
    </w:p>
    <w:p w14:paraId="152F0D94" w14:textId="5F95C503"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Times New Roman" w:eastAsia="Arial Unicode MS" w:hAnsi="Times New Roman" w:cs="Times New Roman"/>
        </w:rPr>
        <w:fldChar w:fldCharType="begin" w:fldLock="1"/>
      </w:r>
      <w:r w:rsidRPr="0076482D">
        <w:instrText xml:space="preserve">ADDIN Mendeley Bibliography CSL_BIBLIOGRAPHY </w:instrText>
      </w:r>
      <w:r w:rsidRPr="0076482D">
        <w:rPr>
          <w:rFonts w:ascii="Times New Roman" w:eastAsia="Arial Unicode MS" w:hAnsi="Times New Roman" w:cs="Times New Roman"/>
        </w:rPr>
        <w:fldChar w:fldCharType="separate"/>
      </w:r>
      <w:r w:rsidRPr="0076482D">
        <w:rPr>
          <w:rFonts w:ascii="Calibri" w:hAnsi="Calibri"/>
          <w:noProof/>
        </w:rPr>
        <w:t>Anning, B. 2010. Embedding</w:t>
      </w:r>
      <w:r w:rsidR="00125A10" w:rsidRPr="0076482D">
        <w:rPr>
          <w:rFonts w:ascii="Calibri" w:hAnsi="Calibri"/>
          <w:noProof/>
        </w:rPr>
        <w:t xml:space="preserve"> an</w:t>
      </w:r>
      <w:r w:rsidRPr="0076482D">
        <w:rPr>
          <w:rFonts w:ascii="Calibri" w:hAnsi="Calibri"/>
          <w:noProof/>
        </w:rPr>
        <w:t xml:space="preserve"> Indigenous graduate attribute</w:t>
      </w:r>
      <w:r w:rsidR="00125A10" w:rsidRPr="0076482D">
        <w:rPr>
          <w:rFonts w:ascii="Calibri" w:hAnsi="Calibri"/>
          <w:noProof/>
        </w:rPr>
        <w:t xml:space="preserve"> into</w:t>
      </w:r>
      <w:r w:rsidRPr="0076482D">
        <w:rPr>
          <w:rFonts w:ascii="Calibri" w:hAnsi="Calibri"/>
          <w:noProof/>
        </w:rPr>
        <w:t xml:space="preserve"> University Western Sydney’s courses. </w:t>
      </w:r>
      <w:r w:rsidRPr="0076482D">
        <w:rPr>
          <w:rFonts w:ascii="Calibri" w:hAnsi="Calibri"/>
          <w:i/>
          <w:iCs/>
          <w:noProof/>
        </w:rPr>
        <w:t>Australian Journal of Indigenous Education</w:t>
      </w:r>
      <w:r w:rsidRPr="0076482D">
        <w:rPr>
          <w:rFonts w:ascii="Calibri" w:hAnsi="Calibri"/>
          <w:noProof/>
        </w:rPr>
        <w:t xml:space="preserve"> 39(2)</w:t>
      </w:r>
      <w:r w:rsidR="003B4C1D" w:rsidRPr="0076482D">
        <w:rPr>
          <w:rFonts w:ascii="Calibri" w:hAnsi="Calibri"/>
          <w:noProof/>
        </w:rPr>
        <w:t>:</w:t>
      </w:r>
      <w:r w:rsidR="00125A10" w:rsidRPr="0076482D">
        <w:rPr>
          <w:rFonts w:ascii="Calibri" w:hAnsi="Calibri"/>
          <w:noProof/>
        </w:rPr>
        <w:t xml:space="preserve"> </w:t>
      </w:r>
      <w:r w:rsidRPr="0076482D">
        <w:rPr>
          <w:rFonts w:ascii="Calibri" w:hAnsi="Calibri"/>
          <w:noProof/>
        </w:rPr>
        <w:t>40</w:t>
      </w:r>
      <w:r w:rsidR="00125A10" w:rsidRPr="0076482D">
        <w:rPr>
          <w:rFonts w:ascii="Calibri" w:hAnsi="Calibri"/>
          <w:noProof/>
        </w:rPr>
        <w:t>-</w:t>
      </w:r>
      <w:r w:rsidRPr="0076482D">
        <w:rPr>
          <w:rFonts w:ascii="Calibri" w:hAnsi="Calibri"/>
          <w:noProof/>
        </w:rPr>
        <w:t>52.</w:t>
      </w:r>
    </w:p>
    <w:p w14:paraId="4928A6D4"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3794F878" w14:textId="54FB3CE0"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Asmar, C &amp; Page, S. 2009. Sources of satisfaction and stress among Indigenous academic teachers: </w:t>
      </w:r>
      <w:r w:rsidR="00C00CBC" w:rsidRPr="0076482D">
        <w:rPr>
          <w:rFonts w:ascii="Calibri" w:hAnsi="Calibri"/>
          <w:noProof/>
        </w:rPr>
        <w:t>f</w:t>
      </w:r>
      <w:r w:rsidRPr="0076482D">
        <w:rPr>
          <w:rFonts w:ascii="Calibri" w:hAnsi="Calibri"/>
          <w:noProof/>
        </w:rPr>
        <w:t xml:space="preserve">indings from a national Australian study. </w:t>
      </w:r>
      <w:r w:rsidRPr="0076482D">
        <w:rPr>
          <w:rFonts w:ascii="Calibri" w:hAnsi="Calibri"/>
          <w:i/>
          <w:iCs/>
          <w:noProof/>
        </w:rPr>
        <w:t>Asia Pacific Journal of Education</w:t>
      </w:r>
      <w:r w:rsidR="00743BEB" w:rsidRPr="0076482D">
        <w:rPr>
          <w:rFonts w:ascii="Calibri" w:hAnsi="Calibri"/>
          <w:noProof/>
        </w:rPr>
        <w:t xml:space="preserve"> </w:t>
      </w:r>
      <w:r w:rsidRPr="0076482D">
        <w:rPr>
          <w:rFonts w:ascii="Calibri" w:hAnsi="Calibri"/>
          <w:noProof/>
        </w:rPr>
        <w:t>29(3)</w:t>
      </w:r>
      <w:r w:rsidR="00C00CBC" w:rsidRPr="0076482D">
        <w:rPr>
          <w:rFonts w:ascii="Calibri" w:hAnsi="Calibri"/>
          <w:noProof/>
        </w:rPr>
        <w:t xml:space="preserve">: </w:t>
      </w:r>
      <w:r w:rsidRPr="0076482D">
        <w:rPr>
          <w:rFonts w:ascii="Calibri" w:hAnsi="Calibri"/>
          <w:noProof/>
        </w:rPr>
        <w:t>387</w:t>
      </w:r>
      <w:r w:rsidR="005B2A74" w:rsidRPr="0076482D">
        <w:rPr>
          <w:rFonts w:ascii="Calibri" w:hAnsi="Calibri"/>
          <w:noProof/>
        </w:rPr>
        <w:t>-</w:t>
      </w:r>
      <w:r w:rsidRPr="0076482D">
        <w:rPr>
          <w:rFonts w:ascii="Calibri" w:hAnsi="Calibri"/>
          <w:noProof/>
        </w:rPr>
        <w:t>401.</w:t>
      </w:r>
    </w:p>
    <w:p w14:paraId="690CEB2F"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2FA750E1" w14:textId="03BB248A"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Bodkin-Andrews, G, Bodkin, AF, Andrews, UG </w:t>
      </w:r>
      <w:r w:rsidR="00AD4119" w:rsidRPr="0076482D">
        <w:rPr>
          <w:rFonts w:ascii="Calibri" w:hAnsi="Calibri"/>
          <w:noProof/>
        </w:rPr>
        <w:t xml:space="preserve">&amp; </w:t>
      </w:r>
      <w:r w:rsidRPr="0076482D">
        <w:rPr>
          <w:rFonts w:ascii="Calibri" w:hAnsi="Calibri"/>
          <w:noProof/>
        </w:rPr>
        <w:t xml:space="preserve">Whittaker, A. 2016. Mudjil'Dya'Djurali Dabuwa'Wurrata (How the White Waratah Became Red): D'harawal storytelling and Welcome to Country “controversies”. </w:t>
      </w:r>
      <w:r w:rsidRPr="0076482D">
        <w:rPr>
          <w:rFonts w:ascii="Calibri" w:hAnsi="Calibri"/>
          <w:i/>
          <w:noProof/>
        </w:rPr>
        <w:t>AlterNative</w:t>
      </w:r>
      <w:r w:rsidRPr="0076482D">
        <w:rPr>
          <w:rFonts w:ascii="Calibri" w:hAnsi="Calibri"/>
          <w:noProof/>
        </w:rPr>
        <w:t xml:space="preserve">: </w:t>
      </w:r>
      <w:r w:rsidR="005B2A74" w:rsidRPr="0076482D">
        <w:rPr>
          <w:rFonts w:ascii="Calibri" w:hAnsi="Calibri"/>
          <w:i/>
          <w:noProof/>
        </w:rPr>
        <w:t>a</w:t>
      </w:r>
      <w:r w:rsidRPr="0076482D">
        <w:rPr>
          <w:rFonts w:ascii="Calibri" w:hAnsi="Calibri"/>
          <w:i/>
          <w:noProof/>
        </w:rPr>
        <w:t>n International Journal of Indigenous Peoples</w:t>
      </w:r>
      <w:r w:rsidR="000D06D5" w:rsidRPr="0076482D">
        <w:rPr>
          <w:rFonts w:ascii="Calibri" w:hAnsi="Calibri"/>
          <w:noProof/>
        </w:rPr>
        <w:t xml:space="preserve"> </w:t>
      </w:r>
      <w:r w:rsidRPr="0076482D">
        <w:rPr>
          <w:rFonts w:ascii="Calibri" w:hAnsi="Calibri"/>
          <w:noProof/>
        </w:rPr>
        <w:t>12(5)</w:t>
      </w:r>
      <w:r w:rsidR="00C00CBC" w:rsidRPr="0076482D">
        <w:rPr>
          <w:rFonts w:ascii="Calibri" w:hAnsi="Calibri"/>
          <w:noProof/>
        </w:rPr>
        <w:t xml:space="preserve">: </w:t>
      </w:r>
      <w:r w:rsidRPr="0076482D">
        <w:rPr>
          <w:rFonts w:ascii="Calibri" w:hAnsi="Calibri"/>
          <w:noProof/>
        </w:rPr>
        <w:t>480-497.</w:t>
      </w:r>
    </w:p>
    <w:p w14:paraId="40D6834E"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007830B0" w14:textId="5FF99EA6"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Boyer, EL. 1990. </w:t>
      </w:r>
      <w:r w:rsidRPr="0076482D">
        <w:rPr>
          <w:rFonts w:ascii="Calibri" w:hAnsi="Calibri"/>
          <w:i/>
          <w:noProof/>
        </w:rPr>
        <w:t xml:space="preserve">Scholarship reconsidered: </w:t>
      </w:r>
      <w:r w:rsidR="006D157A" w:rsidRPr="0076482D">
        <w:rPr>
          <w:rFonts w:ascii="Calibri" w:hAnsi="Calibri"/>
          <w:i/>
          <w:noProof/>
        </w:rPr>
        <w:t>p</w:t>
      </w:r>
      <w:r w:rsidRPr="0076482D">
        <w:rPr>
          <w:rFonts w:ascii="Calibri" w:hAnsi="Calibri"/>
          <w:i/>
          <w:noProof/>
        </w:rPr>
        <w:t>riorities of the professoriate.</w:t>
      </w:r>
      <w:r w:rsidRPr="0076482D">
        <w:rPr>
          <w:rFonts w:ascii="Calibri" w:hAnsi="Calibri"/>
          <w:noProof/>
        </w:rPr>
        <w:t xml:space="preserve"> Princeton, NJ: Carnegie Foundation for the Advancement of Teaching.</w:t>
      </w:r>
    </w:p>
    <w:p w14:paraId="1DF09240"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31277193" w14:textId="57AA0AE6"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Brayboy, BMJ. 2013. Tribal critical race theory: </w:t>
      </w:r>
      <w:r w:rsidR="00B26401" w:rsidRPr="0076482D">
        <w:rPr>
          <w:rFonts w:ascii="Calibri" w:hAnsi="Calibri"/>
          <w:noProof/>
        </w:rPr>
        <w:t>a</w:t>
      </w:r>
      <w:r w:rsidRPr="0076482D">
        <w:rPr>
          <w:rFonts w:ascii="Calibri" w:hAnsi="Calibri"/>
          <w:noProof/>
        </w:rPr>
        <w:t>n origin story and future directions</w:t>
      </w:r>
      <w:r w:rsidR="00823769" w:rsidRPr="0076482D">
        <w:rPr>
          <w:rFonts w:ascii="Calibri" w:hAnsi="Calibri"/>
          <w:noProof/>
        </w:rPr>
        <w:t xml:space="preserve">, in </w:t>
      </w:r>
      <w:r w:rsidRPr="0076482D">
        <w:rPr>
          <w:rFonts w:ascii="Calibri" w:hAnsi="Calibri"/>
          <w:i/>
          <w:noProof/>
        </w:rPr>
        <w:t>The handbook of critical race theory in education</w:t>
      </w:r>
      <w:r w:rsidR="00823769" w:rsidRPr="0076482D">
        <w:rPr>
          <w:rFonts w:ascii="Calibri" w:hAnsi="Calibri"/>
          <w:noProof/>
        </w:rPr>
        <w:t>, edited by M Lynn and AD Dixson.</w:t>
      </w:r>
      <w:r w:rsidR="00C00CBC" w:rsidRPr="0076482D">
        <w:rPr>
          <w:rFonts w:ascii="Calibri" w:hAnsi="Calibri"/>
          <w:noProof/>
        </w:rPr>
        <w:t xml:space="preserve"> </w:t>
      </w:r>
      <w:r w:rsidR="00823769" w:rsidRPr="0076482D">
        <w:rPr>
          <w:rFonts w:ascii="Calibri" w:hAnsi="Calibri"/>
          <w:noProof/>
        </w:rPr>
        <w:t xml:space="preserve">New York: Routledge: </w:t>
      </w:r>
      <w:r w:rsidRPr="0076482D">
        <w:rPr>
          <w:rFonts w:ascii="Calibri" w:hAnsi="Calibri"/>
          <w:noProof/>
        </w:rPr>
        <w:t>88-100.</w:t>
      </w:r>
    </w:p>
    <w:p w14:paraId="513CEEF4"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29A7E0F8" w14:textId="3AC879A9"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Brookfield, S. 1998. Critically reflective practice. </w:t>
      </w:r>
      <w:r w:rsidRPr="0076482D">
        <w:rPr>
          <w:rFonts w:ascii="Calibri" w:hAnsi="Calibri"/>
          <w:i/>
          <w:iCs/>
          <w:noProof/>
        </w:rPr>
        <w:t>Journal of Continuing Education in the Health Professions</w:t>
      </w:r>
      <w:r w:rsidRPr="0076482D">
        <w:rPr>
          <w:rFonts w:ascii="Calibri" w:hAnsi="Calibri"/>
          <w:noProof/>
        </w:rPr>
        <w:t xml:space="preserve"> 18(4)</w:t>
      </w:r>
      <w:r w:rsidR="00C00CBC" w:rsidRPr="0076482D">
        <w:rPr>
          <w:rFonts w:ascii="Calibri" w:hAnsi="Calibri"/>
          <w:noProof/>
        </w:rPr>
        <w:t xml:space="preserve">: </w:t>
      </w:r>
      <w:r w:rsidRPr="0076482D">
        <w:rPr>
          <w:rFonts w:ascii="Calibri" w:hAnsi="Calibri"/>
          <w:noProof/>
        </w:rPr>
        <w:t>197</w:t>
      </w:r>
      <w:r w:rsidR="0093536B" w:rsidRPr="0076482D">
        <w:rPr>
          <w:rFonts w:ascii="Calibri" w:hAnsi="Calibri"/>
          <w:noProof/>
        </w:rPr>
        <w:t>-</w:t>
      </w:r>
      <w:r w:rsidRPr="0076482D">
        <w:rPr>
          <w:rFonts w:ascii="Calibri" w:hAnsi="Calibri"/>
          <w:noProof/>
        </w:rPr>
        <w:t xml:space="preserve">205. </w:t>
      </w:r>
    </w:p>
    <w:p w14:paraId="286E4F7B"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2AEBDCCE" w14:textId="124B69EC"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Cousin, G. 2006. An </w:t>
      </w:r>
      <w:r w:rsidR="008C40D5" w:rsidRPr="0076482D">
        <w:rPr>
          <w:rFonts w:ascii="Calibri" w:hAnsi="Calibri"/>
          <w:noProof/>
        </w:rPr>
        <w:t>i</w:t>
      </w:r>
      <w:r w:rsidRPr="0076482D">
        <w:rPr>
          <w:rFonts w:ascii="Calibri" w:hAnsi="Calibri"/>
          <w:noProof/>
        </w:rPr>
        <w:t xml:space="preserve">ntroduction to threshold concepts. </w:t>
      </w:r>
      <w:r w:rsidRPr="0076482D">
        <w:rPr>
          <w:rFonts w:ascii="Calibri" w:hAnsi="Calibri"/>
          <w:i/>
          <w:iCs/>
          <w:noProof/>
        </w:rPr>
        <w:t>Planet</w:t>
      </w:r>
      <w:r w:rsidRPr="0076482D">
        <w:rPr>
          <w:rFonts w:ascii="Calibri" w:hAnsi="Calibri"/>
          <w:noProof/>
        </w:rPr>
        <w:t xml:space="preserve"> (17)</w:t>
      </w:r>
      <w:r w:rsidR="00C00CBC" w:rsidRPr="0076482D">
        <w:rPr>
          <w:rFonts w:ascii="Calibri" w:hAnsi="Calibri"/>
          <w:noProof/>
        </w:rPr>
        <w:t xml:space="preserve">: </w:t>
      </w:r>
      <w:r w:rsidRPr="0076482D">
        <w:rPr>
          <w:rFonts w:ascii="Calibri" w:hAnsi="Calibri"/>
          <w:noProof/>
        </w:rPr>
        <w:t>4</w:t>
      </w:r>
      <w:r w:rsidR="00743BEB" w:rsidRPr="0076482D">
        <w:rPr>
          <w:rFonts w:ascii="Calibri" w:hAnsi="Calibri"/>
          <w:noProof/>
        </w:rPr>
        <w:t>-</w:t>
      </w:r>
      <w:r w:rsidRPr="0076482D">
        <w:rPr>
          <w:rFonts w:ascii="Calibri" w:hAnsi="Calibri"/>
          <w:noProof/>
        </w:rPr>
        <w:t>6.</w:t>
      </w:r>
    </w:p>
    <w:p w14:paraId="35828A60"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6C035FE9" w14:textId="7E6C6AE0"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Hendry, GD, Frommer, M </w:t>
      </w:r>
      <w:r w:rsidR="00D92720" w:rsidRPr="0076482D">
        <w:rPr>
          <w:rFonts w:ascii="Calibri" w:hAnsi="Calibri"/>
          <w:noProof/>
        </w:rPr>
        <w:t xml:space="preserve">&amp; </w:t>
      </w:r>
      <w:r w:rsidRPr="0076482D">
        <w:rPr>
          <w:rFonts w:ascii="Calibri" w:hAnsi="Calibri"/>
          <w:noProof/>
        </w:rPr>
        <w:t xml:space="preserve">Walker, RA. 1999. Constructivism and problem‐based learning. </w:t>
      </w:r>
      <w:r w:rsidRPr="0076482D">
        <w:rPr>
          <w:rFonts w:ascii="Calibri" w:hAnsi="Calibri"/>
          <w:i/>
          <w:noProof/>
        </w:rPr>
        <w:t>Journal of further and higher education</w:t>
      </w:r>
      <w:r w:rsidRPr="0076482D">
        <w:rPr>
          <w:rFonts w:ascii="Calibri" w:hAnsi="Calibri"/>
          <w:noProof/>
        </w:rPr>
        <w:t xml:space="preserve"> 23(3)</w:t>
      </w:r>
      <w:r w:rsidR="00C00CBC" w:rsidRPr="0076482D">
        <w:rPr>
          <w:rFonts w:ascii="Calibri" w:hAnsi="Calibri"/>
          <w:noProof/>
        </w:rPr>
        <w:t xml:space="preserve">: </w:t>
      </w:r>
      <w:r w:rsidRPr="0076482D">
        <w:rPr>
          <w:rFonts w:ascii="Calibri" w:hAnsi="Calibri"/>
          <w:noProof/>
        </w:rPr>
        <w:t>369-371.</w:t>
      </w:r>
    </w:p>
    <w:p w14:paraId="58836215"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4356A3F5" w14:textId="5BF2DD0C"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Meyer, JHF &amp; Land, R. 2003. Threshold concepts and troublesome knowledge: </w:t>
      </w:r>
      <w:r w:rsidR="000238BA" w:rsidRPr="0076482D">
        <w:rPr>
          <w:rFonts w:ascii="Calibri" w:hAnsi="Calibri"/>
          <w:noProof/>
        </w:rPr>
        <w:t>l</w:t>
      </w:r>
      <w:r w:rsidRPr="0076482D">
        <w:rPr>
          <w:rFonts w:ascii="Calibri" w:hAnsi="Calibri"/>
          <w:noProof/>
        </w:rPr>
        <w:t>inkages to ways of thinking and practising within the disciplines</w:t>
      </w:r>
      <w:r w:rsidR="000238BA" w:rsidRPr="0076482D">
        <w:rPr>
          <w:rFonts w:ascii="Calibri" w:hAnsi="Calibri"/>
          <w:noProof/>
        </w:rPr>
        <w:t>, i</w:t>
      </w:r>
      <w:r w:rsidRPr="0076482D">
        <w:rPr>
          <w:rFonts w:ascii="Calibri" w:hAnsi="Calibri"/>
          <w:noProof/>
        </w:rPr>
        <w:t xml:space="preserve">n </w:t>
      </w:r>
      <w:r w:rsidR="000238BA" w:rsidRPr="0076482D">
        <w:rPr>
          <w:rFonts w:ascii="Calibri" w:hAnsi="Calibri"/>
          <w:i/>
          <w:iCs/>
          <w:noProof/>
        </w:rPr>
        <w:t>Improving Student Learning – Ten Years On</w:t>
      </w:r>
      <w:r w:rsidR="000238BA" w:rsidRPr="0076482D">
        <w:rPr>
          <w:rFonts w:ascii="Calibri" w:hAnsi="Calibri"/>
          <w:noProof/>
        </w:rPr>
        <w:t xml:space="preserve">, edited by </w:t>
      </w:r>
      <w:r w:rsidRPr="0076482D">
        <w:rPr>
          <w:rFonts w:ascii="Calibri" w:hAnsi="Calibri"/>
          <w:noProof/>
        </w:rPr>
        <w:t>C</w:t>
      </w:r>
      <w:r w:rsidR="000238BA" w:rsidRPr="0076482D">
        <w:rPr>
          <w:rFonts w:ascii="Calibri" w:hAnsi="Calibri"/>
          <w:noProof/>
        </w:rPr>
        <w:t xml:space="preserve"> </w:t>
      </w:r>
      <w:r w:rsidRPr="0076482D">
        <w:rPr>
          <w:rFonts w:ascii="Calibri" w:hAnsi="Calibri"/>
          <w:noProof/>
        </w:rPr>
        <w:t>Rust</w:t>
      </w:r>
      <w:r w:rsidR="000238BA" w:rsidRPr="0076482D">
        <w:rPr>
          <w:rFonts w:ascii="Calibri" w:hAnsi="Calibri"/>
          <w:noProof/>
        </w:rPr>
        <w:t xml:space="preserve">: </w:t>
      </w:r>
      <w:r w:rsidR="000238BA" w:rsidRPr="0076482D">
        <w:t xml:space="preserve">Oxford: Oxford Centre for Staff and Learning Development: </w:t>
      </w:r>
      <w:r w:rsidRPr="0076482D">
        <w:rPr>
          <w:rFonts w:ascii="Calibri" w:hAnsi="Calibri"/>
          <w:noProof/>
        </w:rPr>
        <w:t>1</w:t>
      </w:r>
      <w:r w:rsidR="00743BEB" w:rsidRPr="0076482D">
        <w:rPr>
          <w:rFonts w:ascii="Calibri" w:hAnsi="Calibri"/>
          <w:noProof/>
        </w:rPr>
        <w:t>-</w:t>
      </w:r>
      <w:r w:rsidRPr="0076482D">
        <w:rPr>
          <w:rFonts w:ascii="Calibri" w:hAnsi="Calibri"/>
          <w:noProof/>
        </w:rPr>
        <w:t xml:space="preserve">16. </w:t>
      </w:r>
    </w:p>
    <w:p w14:paraId="6DDCD028"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4B2A8CC9" w14:textId="7252D83E"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Meyer, J &amp; Land, R. 2006. Threshold concepts and troublesome knowledge: </w:t>
      </w:r>
      <w:r w:rsidR="000C5FEB" w:rsidRPr="0076482D">
        <w:rPr>
          <w:rFonts w:ascii="Calibri" w:hAnsi="Calibri"/>
          <w:noProof/>
        </w:rPr>
        <w:t>i</w:t>
      </w:r>
      <w:r w:rsidRPr="0076482D">
        <w:rPr>
          <w:rFonts w:ascii="Calibri" w:hAnsi="Calibri"/>
          <w:noProof/>
        </w:rPr>
        <w:t>ssues of liminality</w:t>
      </w:r>
      <w:r w:rsidR="005B6A82" w:rsidRPr="0076482D">
        <w:rPr>
          <w:rFonts w:ascii="Calibri" w:hAnsi="Calibri"/>
          <w:noProof/>
        </w:rPr>
        <w:t>, in</w:t>
      </w:r>
      <w:r w:rsidRPr="0076482D">
        <w:rPr>
          <w:rFonts w:ascii="Calibri" w:hAnsi="Calibri"/>
          <w:noProof/>
        </w:rPr>
        <w:t xml:space="preserve"> </w:t>
      </w:r>
      <w:r w:rsidRPr="0076482D">
        <w:rPr>
          <w:rFonts w:ascii="Calibri" w:hAnsi="Calibri"/>
          <w:i/>
          <w:noProof/>
        </w:rPr>
        <w:t xml:space="preserve">Overcoming barriers to student understanding: </w:t>
      </w:r>
      <w:r w:rsidR="000C5FEB" w:rsidRPr="0076482D">
        <w:rPr>
          <w:rFonts w:ascii="Calibri" w:hAnsi="Calibri"/>
          <w:i/>
          <w:noProof/>
        </w:rPr>
        <w:t>t</w:t>
      </w:r>
      <w:r w:rsidRPr="0076482D">
        <w:rPr>
          <w:rFonts w:ascii="Calibri" w:hAnsi="Calibri"/>
          <w:i/>
          <w:noProof/>
        </w:rPr>
        <w:t>hreshold concepts and troublesome knowledge</w:t>
      </w:r>
      <w:r w:rsidR="000C5FEB" w:rsidRPr="0076482D">
        <w:rPr>
          <w:rFonts w:ascii="Calibri" w:hAnsi="Calibri"/>
          <w:noProof/>
        </w:rPr>
        <w:t>, edited by J Meyer &amp; R Land.</w:t>
      </w:r>
      <w:r w:rsidR="000C5FEB" w:rsidRPr="0076482D">
        <w:rPr>
          <w:rFonts w:ascii="Calibri" w:hAnsi="Calibri"/>
          <w:i/>
          <w:noProof/>
        </w:rPr>
        <w:t xml:space="preserve"> </w:t>
      </w:r>
      <w:r w:rsidRPr="0076482D">
        <w:rPr>
          <w:rFonts w:ascii="Calibri" w:hAnsi="Calibri"/>
          <w:noProof/>
        </w:rPr>
        <w:t>London: Routledge</w:t>
      </w:r>
      <w:r w:rsidR="00743BEB" w:rsidRPr="0076482D">
        <w:rPr>
          <w:rFonts w:ascii="Calibri" w:hAnsi="Calibri"/>
          <w:noProof/>
        </w:rPr>
        <w:t>: 3-18.</w:t>
      </w:r>
    </w:p>
    <w:p w14:paraId="3A67D768"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3CBF8932" w14:textId="1064F0C9"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Mezirow, J.</w:t>
      </w:r>
      <w:r w:rsidR="00743BEB" w:rsidRPr="0076482D">
        <w:rPr>
          <w:rFonts w:ascii="Calibri" w:hAnsi="Calibri"/>
          <w:noProof/>
        </w:rPr>
        <w:t xml:space="preserve"> </w:t>
      </w:r>
      <w:r w:rsidRPr="0076482D">
        <w:rPr>
          <w:rFonts w:ascii="Calibri" w:hAnsi="Calibri"/>
          <w:noProof/>
        </w:rPr>
        <w:t xml:space="preserve">2003. Transformative Learning as Discourse. </w:t>
      </w:r>
      <w:r w:rsidRPr="0076482D">
        <w:rPr>
          <w:rFonts w:ascii="Calibri" w:hAnsi="Calibri"/>
          <w:i/>
          <w:iCs/>
          <w:noProof/>
        </w:rPr>
        <w:t>Journal of Transformative Education</w:t>
      </w:r>
      <w:r w:rsidR="004221C4" w:rsidRPr="0076482D">
        <w:rPr>
          <w:rFonts w:ascii="Calibri" w:hAnsi="Calibri"/>
          <w:noProof/>
        </w:rPr>
        <w:t xml:space="preserve"> </w:t>
      </w:r>
      <w:r w:rsidRPr="0076482D">
        <w:rPr>
          <w:rFonts w:ascii="Calibri" w:hAnsi="Calibri"/>
          <w:noProof/>
        </w:rPr>
        <w:t>1(1)</w:t>
      </w:r>
      <w:r w:rsidR="00C00CBC" w:rsidRPr="0076482D">
        <w:rPr>
          <w:rFonts w:ascii="Calibri" w:hAnsi="Calibri"/>
          <w:noProof/>
        </w:rPr>
        <w:t xml:space="preserve">: </w:t>
      </w:r>
      <w:r w:rsidRPr="0076482D">
        <w:rPr>
          <w:rFonts w:ascii="Calibri" w:hAnsi="Calibri"/>
          <w:noProof/>
        </w:rPr>
        <w:t>58</w:t>
      </w:r>
      <w:r w:rsidR="004221C4" w:rsidRPr="0076482D">
        <w:rPr>
          <w:rFonts w:ascii="Calibri" w:hAnsi="Calibri"/>
          <w:noProof/>
        </w:rPr>
        <w:t>-</w:t>
      </w:r>
      <w:r w:rsidRPr="0076482D">
        <w:rPr>
          <w:rFonts w:ascii="Calibri" w:hAnsi="Calibri"/>
          <w:noProof/>
        </w:rPr>
        <w:t>63.</w:t>
      </w:r>
    </w:p>
    <w:p w14:paraId="1AFF29E5"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49F6EACA" w14:textId="32D27E7F"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Mezirow, J. 1997. Transformative learning: </w:t>
      </w:r>
      <w:r w:rsidR="00EE6EF8" w:rsidRPr="0076482D">
        <w:rPr>
          <w:rFonts w:ascii="Calibri" w:hAnsi="Calibri"/>
          <w:noProof/>
        </w:rPr>
        <w:t>t</w:t>
      </w:r>
      <w:r w:rsidRPr="0076482D">
        <w:rPr>
          <w:rFonts w:ascii="Calibri" w:hAnsi="Calibri"/>
          <w:noProof/>
        </w:rPr>
        <w:t xml:space="preserve">heory to practice. </w:t>
      </w:r>
      <w:r w:rsidRPr="0076482D">
        <w:rPr>
          <w:rFonts w:ascii="Calibri" w:hAnsi="Calibri"/>
          <w:i/>
          <w:noProof/>
        </w:rPr>
        <w:t>New directions for adult and continuing education</w:t>
      </w:r>
      <w:r w:rsidR="004221C4" w:rsidRPr="0076482D">
        <w:rPr>
          <w:rFonts w:ascii="Calibri" w:hAnsi="Calibri"/>
          <w:noProof/>
        </w:rPr>
        <w:t xml:space="preserve"> </w:t>
      </w:r>
      <w:r w:rsidRPr="0076482D">
        <w:rPr>
          <w:rFonts w:ascii="Calibri" w:hAnsi="Calibri"/>
          <w:noProof/>
        </w:rPr>
        <w:t>1997(74)</w:t>
      </w:r>
      <w:r w:rsidR="004221C4" w:rsidRPr="0076482D">
        <w:rPr>
          <w:rFonts w:ascii="Calibri" w:hAnsi="Calibri"/>
          <w:noProof/>
        </w:rPr>
        <w:t>:</w:t>
      </w:r>
      <w:r w:rsidRPr="0076482D">
        <w:rPr>
          <w:rFonts w:ascii="Calibri" w:hAnsi="Calibri"/>
          <w:noProof/>
        </w:rPr>
        <w:t xml:space="preserve"> 5-12.</w:t>
      </w:r>
    </w:p>
    <w:p w14:paraId="209A34DB"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56EA777F" w14:textId="38FC4E1F"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Page, S. 2014. Explo</w:t>
      </w:r>
      <w:r w:rsidR="00DC0D63" w:rsidRPr="0076482D">
        <w:rPr>
          <w:rFonts w:ascii="Calibri" w:hAnsi="Calibri"/>
          <w:noProof/>
        </w:rPr>
        <w:t>ring new conceptualisations of old problems: researching and reorienting teac</w:t>
      </w:r>
      <w:r w:rsidRPr="0076482D">
        <w:rPr>
          <w:rFonts w:ascii="Calibri" w:hAnsi="Calibri"/>
          <w:noProof/>
        </w:rPr>
        <w:t>hing in Indigenous Studies</w:t>
      </w:r>
      <w:r w:rsidR="00DC0D63" w:rsidRPr="0076482D">
        <w:rPr>
          <w:rFonts w:ascii="Calibri" w:hAnsi="Calibri"/>
          <w:noProof/>
        </w:rPr>
        <w:t xml:space="preserve"> to transform student learni</w:t>
      </w:r>
      <w:r w:rsidRPr="0076482D">
        <w:rPr>
          <w:rFonts w:ascii="Calibri" w:hAnsi="Calibri"/>
          <w:noProof/>
        </w:rPr>
        <w:t xml:space="preserve">ng. </w:t>
      </w:r>
      <w:r w:rsidRPr="0076482D">
        <w:rPr>
          <w:rFonts w:ascii="Calibri" w:hAnsi="Calibri"/>
          <w:i/>
          <w:iCs/>
          <w:noProof/>
        </w:rPr>
        <w:t>The Australian Journal of Indigenous Education</w:t>
      </w:r>
      <w:r w:rsidRPr="0076482D">
        <w:rPr>
          <w:rFonts w:ascii="Calibri" w:hAnsi="Calibri"/>
          <w:noProof/>
        </w:rPr>
        <w:t xml:space="preserve"> 43(1)</w:t>
      </w:r>
      <w:r w:rsidR="00C00CBC" w:rsidRPr="0076482D">
        <w:rPr>
          <w:rFonts w:ascii="Calibri" w:hAnsi="Calibri"/>
          <w:noProof/>
        </w:rPr>
        <w:t xml:space="preserve">: </w:t>
      </w:r>
      <w:r w:rsidRPr="0076482D">
        <w:rPr>
          <w:rFonts w:ascii="Calibri" w:hAnsi="Calibri"/>
          <w:noProof/>
        </w:rPr>
        <w:t>21</w:t>
      </w:r>
      <w:r w:rsidR="004221C4" w:rsidRPr="0076482D">
        <w:rPr>
          <w:rFonts w:ascii="Calibri" w:hAnsi="Calibri"/>
          <w:noProof/>
        </w:rPr>
        <w:t>-</w:t>
      </w:r>
      <w:r w:rsidRPr="0076482D">
        <w:rPr>
          <w:rFonts w:ascii="Calibri" w:hAnsi="Calibri"/>
          <w:noProof/>
        </w:rPr>
        <w:t xml:space="preserve">30. </w:t>
      </w:r>
    </w:p>
    <w:p w14:paraId="7BF716FA"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51397ED6" w14:textId="665CCDA7"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Page, S, Trudgett, M, &amp; Bodkin-Andrews, G. 2016. Exploring an Indigenous graduate attribute project through a critical race theory lens</w:t>
      </w:r>
      <w:r w:rsidR="00C508F7" w:rsidRPr="0076482D">
        <w:rPr>
          <w:rFonts w:ascii="Calibri" w:hAnsi="Calibri"/>
          <w:noProof/>
        </w:rPr>
        <w:t>,</w:t>
      </w:r>
      <w:r w:rsidRPr="0076482D">
        <w:rPr>
          <w:rFonts w:ascii="Calibri" w:hAnsi="Calibri"/>
          <w:noProof/>
        </w:rPr>
        <w:t xml:space="preserve"> </w:t>
      </w:r>
      <w:r w:rsidR="00C508F7" w:rsidRPr="0076482D">
        <w:rPr>
          <w:rFonts w:ascii="Calibri" w:hAnsi="Calibri"/>
          <w:noProof/>
        </w:rPr>
        <w:t>i</w:t>
      </w:r>
      <w:r w:rsidRPr="0076482D">
        <w:rPr>
          <w:rFonts w:ascii="Calibri" w:hAnsi="Calibri"/>
          <w:noProof/>
        </w:rPr>
        <w:t xml:space="preserve">n </w:t>
      </w:r>
      <w:r w:rsidR="00C508F7" w:rsidRPr="0076482D">
        <w:rPr>
          <w:rFonts w:ascii="Calibri" w:hAnsi="Calibri"/>
          <w:i/>
          <w:iCs/>
          <w:noProof/>
        </w:rPr>
        <w:t>Research and De</w:t>
      </w:r>
      <w:r w:rsidR="00E604CD" w:rsidRPr="0076482D">
        <w:rPr>
          <w:rFonts w:ascii="Calibri" w:hAnsi="Calibri"/>
          <w:i/>
          <w:iCs/>
          <w:noProof/>
        </w:rPr>
        <w:t>velopment in Higher Education: t</w:t>
      </w:r>
      <w:r w:rsidR="00C508F7" w:rsidRPr="0076482D">
        <w:rPr>
          <w:rFonts w:ascii="Calibri" w:hAnsi="Calibri"/>
          <w:i/>
          <w:iCs/>
          <w:noProof/>
        </w:rPr>
        <w:t xml:space="preserve">he Shape of Higher Education </w:t>
      </w:r>
      <w:r w:rsidR="00C508F7" w:rsidRPr="0076482D">
        <w:rPr>
          <w:rFonts w:ascii="Calibri" w:hAnsi="Calibri"/>
          <w:iCs/>
          <w:noProof/>
        </w:rPr>
        <w:t>39</w:t>
      </w:r>
      <w:r w:rsidR="00C508F7" w:rsidRPr="0076482D">
        <w:rPr>
          <w:rFonts w:ascii="Calibri" w:hAnsi="Calibri"/>
          <w:i/>
          <w:iCs/>
          <w:noProof/>
        </w:rPr>
        <w:t xml:space="preserve">, </w:t>
      </w:r>
      <w:r w:rsidR="00C508F7" w:rsidRPr="0076482D">
        <w:rPr>
          <w:rFonts w:ascii="Calibri" w:hAnsi="Calibri"/>
          <w:iCs/>
          <w:noProof/>
        </w:rPr>
        <w:t xml:space="preserve">edited by </w:t>
      </w:r>
      <w:r w:rsidRPr="0076482D">
        <w:rPr>
          <w:rFonts w:ascii="Calibri" w:hAnsi="Calibri"/>
          <w:iCs/>
          <w:noProof/>
        </w:rPr>
        <w:t>M Davis &amp; A Goody</w:t>
      </w:r>
      <w:r w:rsidR="00200041" w:rsidRPr="0076482D">
        <w:rPr>
          <w:rFonts w:ascii="Calibri" w:hAnsi="Calibri"/>
          <w:iCs/>
          <w:noProof/>
        </w:rPr>
        <w:t>:</w:t>
      </w:r>
      <w:r w:rsidR="00C508F7" w:rsidRPr="0076482D">
        <w:rPr>
          <w:rFonts w:ascii="Calibri" w:hAnsi="Calibri"/>
          <w:iCs/>
          <w:noProof/>
        </w:rPr>
        <w:t xml:space="preserve"> </w:t>
      </w:r>
      <w:r w:rsidR="00C508F7" w:rsidRPr="0076482D">
        <w:t xml:space="preserve">Refereed papers from the 39th HERDSA </w:t>
      </w:r>
      <w:r w:rsidR="005F6F87" w:rsidRPr="0076482D">
        <w:t xml:space="preserve">Annual International Conference, </w:t>
      </w:r>
      <w:r w:rsidR="00C508F7" w:rsidRPr="0076482D">
        <w:t>Fremantle, Australia, 4-7 July 2016:</w:t>
      </w:r>
      <w:r w:rsidR="00200041" w:rsidRPr="0076482D">
        <w:rPr>
          <w:rFonts w:ascii="Calibri" w:hAnsi="Calibri"/>
          <w:i/>
          <w:iCs/>
          <w:noProof/>
        </w:rPr>
        <w:t xml:space="preserve"> </w:t>
      </w:r>
      <w:r w:rsidRPr="0076482D">
        <w:rPr>
          <w:rFonts w:ascii="Calibri" w:hAnsi="Calibri"/>
          <w:noProof/>
        </w:rPr>
        <w:t>258</w:t>
      </w:r>
      <w:r w:rsidR="00200041" w:rsidRPr="0076482D">
        <w:rPr>
          <w:rFonts w:ascii="Calibri" w:hAnsi="Calibri"/>
          <w:noProof/>
        </w:rPr>
        <w:t>-</w:t>
      </w:r>
      <w:r w:rsidRPr="0076482D">
        <w:rPr>
          <w:rFonts w:ascii="Calibri" w:hAnsi="Calibri"/>
          <w:noProof/>
        </w:rPr>
        <w:t>277.</w:t>
      </w:r>
    </w:p>
    <w:p w14:paraId="25C3C810"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3FC6200D" w14:textId="2334B32E" w:rsidR="005F6F87"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Phillips, G. 2004. CDAMS Indigenous Health Curriculum Framework. </w:t>
      </w:r>
      <w:r w:rsidRPr="0076482D">
        <w:rPr>
          <w:rFonts w:ascii="Calibri" w:hAnsi="Calibri"/>
          <w:i/>
          <w:iCs/>
          <w:noProof/>
        </w:rPr>
        <w:t xml:space="preserve">Committee of Deans of Australian </w:t>
      </w:r>
      <w:r w:rsidRPr="0076482D">
        <w:rPr>
          <w:rFonts w:ascii="Calibri" w:hAnsi="Calibri"/>
          <w:i/>
          <w:iCs/>
          <w:noProof/>
        </w:rPr>
        <w:lastRenderedPageBreak/>
        <w:t>Medical Schools</w:t>
      </w:r>
      <w:r w:rsidRPr="0076482D">
        <w:rPr>
          <w:rFonts w:ascii="Calibri" w:hAnsi="Calibri"/>
          <w:noProof/>
        </w:rPr>
        <w:t>, (August)</w:t>
      </w:r>
      <w:r w:rsidR="005F6F87" w:rsidRPr="0076482D">
        <w:rPr>
          <w:rFonts w:ascii="Calibri" w:hAnsi="Calibri"/>
          <w:noProof/>
        </w:rPr>
        <w:t xml:space="preserve">: </w:t>
      </w:r>
      <w:r w:rsidRPr="0076482D">
        <w:rPr>
          <w:rFonts w:ascii="Calibri" w:hAnsi="Calibri"/>
          <w:noProof/>
        </w:rPr>
        <w:t xml:space="preserve">32. </w:t>
      </w:r>
      <w:r w:rsidR="00123B51" w:rsidRPr="0076482D">
        <w:rPr>
          <w:rFonts w:ascii="Calibri" w:hAnsi="Calibri"/>
          <w:noProof/>
        </w:rPr>
        <w:t>Available:</w:t>
      </w:r>
      <w:r w:rsidRPr="0076482D">
        <w:rPr>
          <w:rFonts w:ascii="Calibri" w:hAnsi="Calibri"/>
          <w:noProof/>
        </w:rPr>
        <w:t xml:space="preserve"> </w:t>
      </w:r>
    </w:p>
    <w:p w14:paraId="4BB5F5EC" w14:textId="457AC09A" w:rsidR="005F6F87" w:rsidRPr="00ED159D" w:rsidRDefault="00ED159D" w:rsidP="00127986">
      <w:pPr>
        <w:widowControl w:val="0"/>
        <w:autoSpaceDE w:val="0"/>
        <w:autoSpaceDN w:val="0"/>
        <w:adjustRightInd w:val="0"/>
        <w:spacing w:after="0" w:line="240" w:lineRule="auto"/>
        <w:ind w:left="960" w:hanging="480"/>
        <w:jc w:val="both"/>
        <w:rPr>
          <w:rStyle w:val="Hyperlink"/>
          <w:rFonts w:ascii="Calibri" w:hAnsi="Calibri"/>
          <w:noProof/>
        </w:rPr>
      </w:pPr>
      <w:r>
        <w:rPr>
          <w:rFonts w:ascii="Calibri" w:hAnsi="Calibri"/>
          <w:noProof/>
        </w:rPr>
        <w:fldChar w:fldCharType="begin"/>
      </w:r>
      <w:r>
        <w:rPr>
          <w:rFonts w:ascii="Calibri" w:hAnsi="Calibri"/>
          <w:noProof/>
        </w:rPr>
        <w:instrText xml:space="preserve"> HYPERLINK "http://www.medicaldeans.org.au/wp-content/uploads/CDAMS-Indigenous-Health-Curriculum-" </w:instrText>
      </w:r>
      <w:r>
        <w:rPr>
          <w:rFonts w:ascii="Calibri" w:hAnsi="Calibri"/>
          <w:noProof/>
        </w:rPr>
        <w:fldChar w:fldCharType="separate"/>
      </w:r>
      <w:r w:rsidR="00442052" w:rsidRPr="00ED159D">
        <w:rPr>
          <w:rStyle w:val="Hyperlink"/>
          <w:rFonts w:ascii="Calibri" w:hAnsi="Calibri"/>
          <w:noProof/>
        </w:rPr>
        <w:t>http://www.medicaldeans.org.au/wp-content/uploads/CDAMS-Indigenous-Health-Curriculum-</w:t>
      </w:r>
    </w:p>
    <w:p w14:paraId="62DECC00" w14:textId="52019149" w:rsidR="00442052" w:rsidRPr="0076482D" w:rsidRDefault="00442052" w:rsidP="00127986">
      <w:pPr>
        <w:widowControl w:val="0"/>
        <w:autoSpaceDE w:val="0"/>
        <w:autoSpaceDN w:val="0"/>
        <w:adjustRightInd w:val="0"/>
        <w:spacing w:after="0" w:line="240" w:lineRule="auto"/>
        <w:ind w:left="960" w:hanging="480"/>
        <w:jc w:val="both"/>
        <w:rPr>
          <w:rFonts w:ascii="Calibri" w:hAnsi="Calibri"/>
          <w:noProof/>
        </w:rPr>
      </w:pPr>
      <w:r w:rsidRPr="00ED159D">
        <w:rPr>
          <w:rStyle w:val="Hyperlink"/>
          <w:rFonts w:ascii="Calibri" w:hAnsi="Calibri"/>
          <w:noProof/>
        </w:rPr>
        <w:t>Framework.pdf.</w:t>
      </w:r>
      <w:r w:rsidR="00ED159D">
        <w:rPr>
          <w:rFonts w:ascii="Calibri" w:hAnsi="Calibri"/>
          <w:noProof/>
        </w:rPr>
        <w:fldChar w:fldCharType="end"/>
      </w:r>
    </w:p>
    <w:p w14:paraId="0445478C" w14:textId="70D67403" w:rsidR="00033DD6" w:rsidRPr="0076482D" w:rsidRDefault="00033DD6" w:rsidP="00127986">
      <w:pPr>
        <w:widowControl w:val="0"/>
        <w:autoSpaceDE w:val="0"/>
        <w:autoSpaceDN w:val="0"/>
        <w:adjustRightInd w:val="0"/>
        <w:spacing w:after="0" w:line="240" w:lineRule="auto"/>
        <w:ind w:left="960" w:hanging="480"/>
        <w:jc w:val="both"/>
        <w:rPr>
          <w:rFonts w:ascii="Calibri" w:hAnsi="Calibri"/>
          <w:noProof/>
        </w:rPr>
      </w:pPr>
      <w:r w:rsidRPr="0076482D">
        <w:rPr>
          <w:rFonts w:ascii="Calibri" w:hAnsi="Calibri"/>
          <w:noProof/>
        </w:rPr>
        <w:t>Accessed 17 April 2017.</w:t>
      </w:r>
    </w:p>
    <w:p w14:paraId="18451310"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2CF91857" w14:textId="77B09369"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Rigney, LI. 2011. Indigenous higher education reform and Indigenous knowledges. University of Adelaide, unpublished report to the </w:t>
      </w:r>
      <w:r w:rsidRPr="0076482D">
        <w:rPr>
          <w:rFonts w:ascii="Calibri" w:hAnsi="Calibri"/>
          <w:i/>
          <w:noProof/>
        </w:rPr>
        <w:t>Review of Higher Education Access and Outcomes for Aboriginal and Torres Strait Islander People</w:t>
      </w:r>
      <w:r w:rsidRPr="0076482D">
        <w:rPr>
          <w:rFonts w:ascii="Calibri" w:hAnsi="Calibri"/>
          <w:noProof/>
        </w:rPr>
        <w:t>, Department of Education, Employment and Workplace Relations, Canberra.</w:t>
      </w:r>
    </w:p>
    <w:p w14:paraId="6B279F0A"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6A0D2FE0" w14:textId="7E5571A7"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Shulman, L. 2000. From Minsk to Pinsk: </w:t>
      </w:r>
      <w:r w:rsidR="008E2C02" w:rsidRPr="0076482D">
        <w:rPr>
          <w:rFonts w:ascii="Calibri" w:hAnsi="Calibri"/>
          <w:noProof/>
        </w:rPr>
        <w:t>w</w:t>
      </w:r>
      <w:r w:rsidRPr="0076482D">
        <w:rPr>
          <w:rFonts w:ascii="Calibri" w:hAnsi="Calibri"/>
          <w:noProof/>
        </w:rPr>
        <w:t>hy a scholarship of teaching and learning</w:t>
      </w:r>
      <w:r w:rsidR="00F063AF" w:rsidRPr="0076482D">
        <w:rPr>
          <w:rFonts w:ascii="Calibri" w:hAnsi="Calibri"/>
          <w:noProof/>
        </w:rPr>
        <w:t>?</w:t>
      </w:r>
      <w:r w:rsidRPr="0076482D">
        <w:rPr>
          <w:rFonts w:ascii="Calibri" w:hAnsi="Calibri"/>
          <w:noProof/>
        </w:rPr>
        <w:t xml:space="preserve"> </w:t>
      </w:r>
      <w:r w:rsidRPr="0076482D">
        <w:rPr>
          <w:rFonts w:ascii="Calibri" w:hAnsi="Calibri"/>
          <w:i/>
          <w:noProof/>
        </w:rPr>
        <w:t>Journal of Scholarship of Teaching and Learning</w:t>
      </w:r>
      <w:r w:rsidRPr="0076482D">
        <w:rPr>
          <w:rFonts w:ascii="Calibri" w:hAnsi="Calibri"/>
          <w:noProof/>
        </w:rPr>
        <w:t xml:space="preserve"> 1(1)</w:t>
      </w:r>
      <w:r w:rsidR="00C56916" w:rsidRPr="0076482D">
        <w:rPr>
          <w:rFonts w:ascii="Calibri" w:hAnsi="Calibri"/>
          <w:noProof/>
        </w:rPr>
        <w:t>:</w:t>
      </w:r>
      <w:r w:rsidRPr="0076482D">
        <w:rPr>
          <w:rFonts w:ascii="Calibri" w:hAnsi="Calibri"/>
          <w:noProof/>
        </w:rPr>
        <w:t xml:space="preserve"> 48-53.</w:t>
      </w:r>
    </w:p>
    <w:p w14:paraId="16F29E49"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74AF1E4C" w14:textId="1F748A73"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Sefa Dei, GJ. 2008. Indigenous knowledge studies and the next generation: </w:t>
      </w:r>
      <w:r w:rsidR="00BA1EAE" w:rsidRPr="0076482D">
        <w:rPr>
          <w:rFonts w:ascii="Calibri" w:hAnsi="Calibri"/>
          <w:noProof/>
        </w:rPr>
        <w:t>p</w:t>
      </w:r>
      <w:r w:rsidRPr="0076482D">
        <w:rPr>
          <w:rFonts w:ascii="Calibri" w:hAnsi="Calibri"/>
          <w:noProof/>
        </w:rPr>
        <w:t xml:space="preserve">edagogical possibilites for anti-colonial education. </w:t>
      </w:r>
      <w:r w:rsidRPr="0076482D">
        <w:rPr>
          <w:rFonts w:ascii="Calibri" w:hAnsi="Calibri"/>
          <w:i/>
          <w:iCs/>
          <w:noProof/>
        </w:rPr>
        <w:t>The Australian Journal of Indigenous Education</w:t>
      </w:r>
      <w:r w:rsidR="00BA1EAE" w:rsidRPr="0076482D">
        <w:rPr>
          <w:rFonts w:ascii="Calibri" w:hAnsi="Calibri"/>
          <w:noProof/>
        </w:rPr>
        <w:t xml:space="preserve"> </w:t>
      </w:r>
      <w:r w:rsidRPr="0076482D">
        <w:rPr>
          <w:rFonts w:ascii="Calibri" w:hAnsi="Calibri"/>
          <w:noProof/>
        </w:rPr>
        <w:t>37</w:t>
      </w:r>
      <w:r w:rsidR="00094789">
        <w:rPr>
          <w:rFonts w:ascii="Calibri" w:hAnsi="Calibri"/>
          <w:noProof/>
        </w:rPr>
        <w:t xml:space="preserve"> </w:t>
      </w:r>
      <w:r w:rsidRPr="0076482D">
        <w:rPr>
          <w:rFonts w:ascii="Calibri" w:hAnsi="Calibri"/>
          <w:noProof/>
        </w:rPr>
        <w:t>(Supplementary)</w:t>
      </w:r>
      <w:r w:rsidR="00C00CBC" w:rsidRPr="0076482D">
        <w:rPr>
          <w:rFonts w:ascii="Calibri" w:hAnsi="Calibri"/>
          <w:noProof/>
        </w:rPr>
        <w:t xml:space="preserve">: </w:t>
      </w:r>
      <w:r w:rsidRPr="0076482D">
        <w:rPr>
          <w:rFonts w:ascii="Calibri" w:hAnsi="Calibri"/>
          <w:noProof/>
        </w:rPr>
        <w:t>5</w:t>
      </w:r>
      <w:r w:rsidR="00C56916" w:rsidRPr="0076482D">
        <w:rPr>
          <w:rFonts w:ascii="Calibri" w:hAnsi="Calibri"/>
          <w:noProof/>
        </w:rPr>
        <w:t>-</w:t>
      </w:r>
      <w:r w:rsidRPr="0076482D">
        <w:rPr>
          <w:rFonts w:ascii="Calibri" w:hAnsi="Calibri"/>
          <w:noProof/>
        </w:rPr>
        <w:t xml:space="preserve">13. </w:t>
      </w:r>
    </w:p>
    <w:p w14:paraId="7D2A4A42" w14:textId="77777777" w:rsidR="00B83678" w:rsidRPr="0076482D" w:rsidRDefault="00B83678" w:rsidP="00127986">
      <w:pPr>
        <w:widowControl w:val="0"/>
        <w:autoSpaceDE w:val="0"/>
        <w:autoSpaceDN w:val="0"/>
        <w:adjustRightInd w:val="0"/>
        <w:spacing w:after="0" w:line="240" w:lineRule="auto"/>
        <w:ind w:left="480" w:hanging="480"/>
        <w:jc w:val="both"/>
        <w:rPr>
          <w:rFonts w:ascii="Calibri" w:hAnsi="Calibri"/>
          <w:noProof/>
        </w:rPr>
      </w:pPr>
    </w:p>
    <w:p w14:paraId="5A6FC188" w14:textId="7FC19992" w:rsidR="00442052" w:rsidRPr="0076482D" w:rsidRDefault="00442052"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 xml:space="preserve">Universities Australia 2017. </w:t>
      </w:r>
      <w:r w:rsidRPr="0076482D">
        <w:rPr>
          <w:rFonts w:ascii="Calibri" w:hAnsi="Calibri"/>
          <w:i/>
          <w:noProof/>
        </w:rPr>
        <w:t>Indigenous Strategy 2017-2020</w:t>
      </w:r>
      <w:r w:rsidRPr="0076482D">
        <w:rPr>
          <w:rFonts w:ascii="Calibri" w:hAnsi="Calibri"/>
          <w:noProof/>
        </w:rPr>
        <w:t xml:space="preserve">, </w:t>
      </w:r>
      <w:r w:rsidRPr="0076482D">
        <w:rPr>
          <w:rFonts w:ascii="Calibri" w:hAnsi="Calibri"/>
          <w:iCs/>
          <w:noProof/>
        </w:rPr>
        <w:t>Universities Australia</w:t>
      </w:r>
      <w:r w:rsidR="00123B51" w:rsidRPr="0076482D">
        <w:rPr>
          <w:rFonts w:ascii="Calibri" w:hAnsi="Calibri"/>
          <w:noProof/>
        </w:rPr>
        <w:t>. Available:</w:t>
      </w:r>
      <w:r w:rsidRPr="0076482D">
        <w:rPr>
          <w:rFonts w:ascii="Calibri" w:hAnsi="Calibri"/>
          <w:noProof/>
        </w:rPr>
        <w:t xml:space="preserve"> </w:t>
      </w:r>
      <w:hyperlink r:id="rId7" w:history="1">
        <w:r w:rsidRPr="00ED159D">
          <w:rPr>
            <w:rStyle w:val="Hyperlink"/>
            <w:rFonts w:ascii="Calibri" w:hAnsi="Calibri"/>
            <w:noProof/>
          </w:rPr>
          <w:t>http://www.universitiesaustralia.e</w:t>
        </w:r>
        <w:r w:rsidR="009B2A9E" w:rsidRPr="00ED159D">
          <w:rPr>
            <w:rStyle w:val="Hyperlink"/>
            <w:rFonts w:ascii="Calibri" w:hAnsi="Calibri"/>
            <w:noProof/>
          </w:rPr>
          <w:t>du.au/</w:t>
        </w:r>
      </w:hyperlink>
    </w:p>
    <w:p w14:paraId="1C585A88" w14:textId="18F35656" w:rsidR="006420E1" w:rsidRDefault="009B2A9E" w:rsidP="00127986">
      <w:pPr>
        <w:widowControl w:val="0"/>
        <w:autoSpaceDE w:val="0"/>
        <w:autoSpaceDN w:val="0"/>
        <w:adjustRightInd w:val="0"/>
        <w:spacing w:after="0" w:line="240" w:lineRule="auto"/>
        <w:ind w:left="480" w:hanging="480"/>
        <w:jc w:val="both"/>
        <w:rPr>
          <w:rFonts w:ascii="Calibri" w:hAnsi="Calibri"/>
          <w:noProof/>
        </w:rPr>
      </w:pPr>
      <w:r w:rsidRPr="0076482D">
        <w:rPr>
          <w:rFonts w:ascii="Calibri" w:hAnsi="Calibri"/>
          <w:noProof/>
        </w:rPr>
        <w:tab/>
        <w:t>Accessed  20 August 2017.</w:t>
      </w:r>
    </w:p>
    <w:p w14:paraId="7F13307F"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1E388647"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79841B4B"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5C1813B7"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22B93CE8"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37625990"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5312B584"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0FCA5861"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60AD4964"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72E57E75"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69313561"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1FD9B337"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7DBD0ACF" w14:textId="77777777" w:rsidR="0076482D" w:rsidRDefault="0076482D" w:rsidP="00127986">
      <w:pPr>
        <w:widowControl w:val="0"/>
        <w:autoSpaceDE w:val="0"/>
        <w:autoSpaceDN w:val="0"/>
        <w:adjustRightInd w:val="0"/>
        <w:spacing w:after="0" w:line="240" w:lineRule="auto"/>
        <w:ind w:left="480" w:hanging="480"/>
        <w:jc w:val="both"/>
        <w:rPr>
          <w:rFonts w:ascii="Calibri" w:hAnsi="Calibri"/>
          <w:noProof/>
        </w:rPr>
      </w:pPr>
    </w:p>
    <w:p w14:paraId="3BF0E4C5" w14:textId="77777777" w:rsidR="00107DAA" w:rsidRDefault="00107DAA" w:rsidP="00127986">
      <w:pPr>
        <w:widowControl w:val="0"/>
        <w:autoSpaceDE w:val="0"/>
        <w:autoSpaceDN w:val="0"/>
        <w:adjustRightInd w:val="0"/>
        <w:spacing w:after="0" w:line="240" w:lineRule="auto"/>
        <w:ind w:left="480" w:hanging="480"/>
        <w:jc w:val="both"/>
        <w:rPr>
          <w:rFonts w:ascii="Calibri" w:hAnsi="Calibri"/>
          <w:noProof/>
        </w:rPr>
      </w:pPr>
    </w:p>
    <w:p w14:paraId="23853D99" w14:textId="77777777" w:rsidR="00107DAA" w:rsidRDefault="00107DAA" w:rsidP="00127986">
      <w:pPr>
        <w:widowControl w:val="0"/>
        <w:autoSpaceDE w:val="0"/>
        <w:autoSpaceDN w:val="0"/>
        <w:adjustRightInd w:val="0"/>
        <w:spacing w:after="0" w:line="240" w:lineRule="auto"/>
        <w:ind w:left="480" w:hanging="480"/>
        <w:jc w:val="both"/>
        <w:rPr>
          <w:rFonts w:ascii="Calibri" w:hAnsi="Calibri"/>
          <w:noProof/>
        </w:rPr>
      </w:pPr>
    </w:p>
    <w:p w14:paraId="4998DCDD" w14:textId="77777777" w:rsidR="00107DAA" w:rsidRDefault="00107DAA" w:rsidP="00127986">
      <w:pPr>
        <w:widowControl w:val="0"/>
        <w:autoSpaceDE w:val="0"/>
        <w:autoSpaceDN w:val="0"/>
        <w:adjustRightInd w:val="0"/>
        <w:spacing w:after="0" w:line="240" w:lineRule="auto"/>
        <w:ind w:left="480" w:hanging="480"/>
        <w:jc w:val="both"/>
        <w:rPr>
          <w:rFonts w:ascii="Calibri" w:hAnsi="Calibri"/>
          <w:noProof/>
        </w:rPr>
      </w:pPr>
    </w:p>
    <w:p w14:paraId="085DF2AA" w14:textId="77777777" w:rsidR="00107DAA" w:rsidRDefault="00107DAA" w:rsidP="00127986">
      <w:pPr>
        <w:widowControl w:val="0"/>
        <w:autoSpaceDE w:val="0"/>
        <w:autoSpaceDN w:val="0"/>
        <w:adjustRightInd w:val="0"/>
        <w:spacing w:after="0" w:line="240" w:lineRule="auto"/>
        <w:ind w:left="480" w:hanging="480"/>
        <w:jc w:val="both"/>
        <w:rPr>
          <w:rFonts w:ascii="Calibri" w:hAnsi="Calibri"/>
          <w:noProof/>
        </w:rPr>
      </w:pPr>
    </w:p>
    <w:p w14:paraId="17331836" w14:textId="77777777" w:rsidR="00107DAA" w:rsidRDefault="00107DAA" w:rsidP="00127986">
      <w:pPr>
        <w:widowControl w:val="0"/>
        <w:autoSpaceDE w:val="0"/>
        <w:autoSpaceDN w:val="0"/>
        <w:adjustRightInd w:val="0"/>
        <w:spacing w:after="0" w:line="240" w:lineRule="auto"/>
        <w:ind w:left="480" w:hanging="480"/>
        <w:jc w:val="both"/>
        <w:rPr>
          <w:rFonts w:ascii="Calibri" w:hAnsi="Calibri"/>
          <w:noProof/>
        </w:rPr>
      </w:pPr>
    </w:p>
    <w:p w14:paraId="1E3488CA" w14:textId="77777777" w:rsidR="00107DAA" w:rsidRDefault="00107DAA" w:rsidP="00127986">
      <w:pPr>
        <w:widowControl w:val="0"/>
        <w:autoSpaceDE w:val="0"/>
        <w:autoSpaceDN w:val="0"/>
        <w:adjustRightInd w:val="0"/>
        <w:spacing w:after="0" w:line="240" w:lineRule="auto"/>
        <w:ind w:left="480" w:hanging="480"/>
        <w:jc w:val="both"/>
        <w:rPr>
          <w:rFonts w:ascii="Calibri" w:hAnsi="Calibri"/>
          <w:noProof/>
        </w:rPr>
      </w:pPr>
    </w:p>
    <w:p w14:paraId="6070778F" w14:textId="77777777" w:rsidR="00107DAA" w:rsidRDefault="00107DAA" w:rsidP="00127986">
      <w:pPr>
        <w:widowControl w:val="0"/>
        <w:autoSpaceDE w:val="0"/>
        <w:autoSpaceDN w:val="0"/>
        <w:adjustRightInd w:val="0"/>
        <w:spacing w:after="0" w:line="240" w:lineRule="auto"/>
        <w:ind w:left="480" w:hanging="480"/>
        <w:jc w:val="both"/>
        <w:rPr>
          <w:rFonts w:ascii="Calibri" w:hAnsi="Calibri"/>
          <w:noProof/>
        </w:rPr>
      </w:pPr>
    </w:p>
    <w:p w14:paraId="55A7A268" w14:textId="77777777" w:rsidR="00107DAA" w:rsidRPr="0076482D" w:rsidRDefault="00107DAA" w:rsidP="00127986">
      <w:pPr>
        <w:widowControl w:val="0"/>
        <w:autoSpaceDE w:val="0"/>
        <w:autoSpaceDN w:val="0"/>
        <w:adjustRightInd w:val="0"/>
        <w:spacing w:after="0" w:line="240" w:lineRule="auto"/>
        <w:ind w:left="480" w:hanging="480"/>
        <w:jc w:val="both"/>
        <w:rPr>
          <w:rFonts w:ascii="Calibri" w:hAnsi="Calibri"/>
          <w:noProof/>
        </w:rPr>
      </w:pPr>
    </w:p>
    <w:p w14:paraId="6ACE578E" w14:textId="0901CE7D" w:rsidR="009343E2" w:rsidRDefault="00442052" w:rsidP="00B83678">
      <w:pPr>
        <w:pStyle w:val="Body"/>
        <w:spacing w:after="0" w:line="240" w:lineRule="auto"/>
        <w:jc w:val="both"/>
        <w:rPr>
          <w:sz w:val="24"/>
          <w:szCs w:val="24"/>
          <w:lang w:val="en-GB"/>
        </w:rPr>
      </w:pPr>
      <w:r w:rsidRPr="0076482D">
        <w:rPr>
          <w:lang w:val="en-GB"/>
        </w:rPr>
        <w:fldChar w:fldCharType="end"/>
      </w:r>
    </w:p>
    <w:p w14:paraId="75E5C9F4" w14:textId="77777777" w:rsidR="00F939BE" w:rsidRDefault="003077E9" w:rsidP="003A1D15">
      <w:pPr>
        <w:spacing w:after="0" w:line="240" w:lineRule="auto"/>
        <w:jc w:val="both"/>
        <w:rPr>
          <w:color w:val="7B7B7B" w:themeColor="accent3" w:themeShade="BF"/>
          <w:sz w:val="20"/>
        </w:rPr>
      </w:pPr>
      <w:r w:rsidRPr="003A1D15">
        <w:rPr>
          <w:noProof/>
          <w:sz w:val="20"/>
          <w:lang w:eastAsia="en-GB"/>
        </w:rPr>
        <w:drawing>
          <wp:anchor distT="0" distB="0" distL="114300" distR="114300" simplePos="0" relativeHeight="251663360" behindDoc="0" locked="0" layoutInCell="1" allowOverlap="1" wp14:anchorId="31DFCF30" wp14:editId="721C25B3">
            <wp:simplePos x="0" y="0"/>
            <wp:positionH relativeFrom="column">
              <wp:posOffset>0</wp:posOffset>
            </wp:positionH>
            <wp:positionV relativeFrom="paragraph">
              <wp:posOffset>-304</wp:posOffset>
            </wp:positionV>
            <wp:extent cx="835025" cy="294005"/>
            <wp:effectExtent l="0" t="0" r="3175" b="0"/>
            <wp:wrapSquare wrapText="bothSides"/>
            <wp:docPr id="4" name="Picture 4" descr="C:\Users\shashi\Google Drive\SoTL in the South technical planning\Journal workflow\Letter and article templates\Creative common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Google Drive\SoTL in the South technical planning\Journal workflow\Letter and article templates\Creative commons\88x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anchor>
        </w:drawing>
      </w:r>
      <w:r w:rsidRPr="00067C64">
        <w:rPr>
          <w:color w:val="7B7B7B" w:themeColor="accent3" w:themeShade="BF"/>
          <w:sz w:val="20"/>
        </w:rPr>
        <w:t xml:space="preserve">This work is licensed under the Creative Commons Attribution 4.0 International License. </w:t>
      </w:r>
    </w:p>
    <w:p w14:paraId="534D7EE9" w14:textId="0B818E5B" w:rsidR="003077E9" w:rsidRPr="003A1D15" w:rsidRDefault="003077E9" w:rsidP="003A1D15">
      <w:pPr>
        <w:spacing w:after="0" w:line="240" w:lineRule="auto"/>
        <w:jc w:val="both"/>
        <w:rPr>
          <w:color w:val="7B7B7B" w:themeColor="accent3" w:themeShade="BF"/>
          <w:sz w:val="20"/>
        </w:rPr>
      </w:pPr>
      <w:r w:rsidRPr="00067C64">
        <w:rPr>
          <w:color w:val="7B7B7B" w:themeColor="accent3" w:themeShade="BF"/>
          <w:sz w:val="20"/>
        </w:rPr>
        <w:t xml:space="preserve">To view a copy of this license, visit </w:t>
      </w:r>
      <w:hyperlink r:id="rId9" w:history="1">
        <w:r w:rsidRPr="001D6A4C">
          <w:rPr>
            <w:rStyle w:val="Hyperlink"/>
            <w:sz w:val="20"/>
          </w:rPr>
          <w:t>http://creativecommons.org/licenses/by/4.0/</w:t>
        </w:r>
      </w:hyperlink>
      <w:r w:rsidRPr="00067C64">
        <w:rPr>
          <w:color w:val="7B7B7B" w:themeColor="accent3" w:themeShade="BF"/>
          <w:sz w:val="20"/>
        </w:rPr>
        <w:t xml:space="preserve"> </w:t>
      </w:r>
    </w:p>
    <w:sectPr w:rsidR="003077E9" w:rsidRPr="003A1D15" w:rsidSect="00AD1D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567" w:gutter="0"/>
      <w:pgNumType w:start="10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4061D" w14:textId="77777777" w:rsidR="003C7DEB" w:rsidRDefault="003C7DEB" w:rsidP="00E531E9">
      <w:pPr>
        <w:spacing w:after="0" w:line="240" w:lineRule="auto"/>
      </w:pPr>
      <w:r>
        <w:separator/>
      </w:r>
    </w:p>
  </w:endnote>
  <w:endnote w:type="continuationSeparator" w:id="0">
    <w:p w14:paraId="4C85FAA0" w14:textId="77777777" w:rsidR="003C7DEB" w:rsidRDefault="003C7DEB"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0662" w14:textId="77777777" w:rsidR="00AD1DBB" w:rsidRDefault="00AD1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59894"/>
      <w:docPartObj>
        <w:docPartGallery w:val="Page Numbers (Bottom of Page)"/>
        <w:docPartUnique/>
      </w:docPartObj>
    </w:sdtPr>
    <w:sdtEndPr>
      <w:rPr>
        <w:noProof/>
      </w:rPr>
    </w:sdtEndPr>
    <w:sdtContent>
      <w:p w14:paraId="40C57761" w14:textId="77777777" w:rsidR="00BF226A" w:rsidRDefault="00BF226A">
        <w:pPr>
          <w:pStyle w:val="Footer"/>
          <w:jc w:val="center"/>
        </w:pPr>
        <w:r>
          <w:fldChar w:fldCharType="begin"/>
        </w:r>
        <w:r>
          <w:instrText xml:space="preserve"> PAGE   \* MERGEFORMAT </w:instrText>
        </w:r>
        <w:r>
          <w:fldChar w:fldCharType="separate"/>
        </w:r>
        <w:r w:rsidR="00F51499">
          <w:rPr>
            <w:noProof/>
          </w:rPr>
          <w:t>113</w:t>
        </w:r>
        <w:r>
          <w:rPr>
            <w:noProof/>
          </w:rPr>
          <w:fldChar w:fldCharType="end"/>
        </w:r>
      </w:p>
    </w:sdtContent>
  </w:sdt>
  <w:p w14:paraId="3BA72867" w14:textId="77777777" w:rsidR="00690B8F" w:rsidRPr="00CB0E47" w:rsidRDefault="00690B8F" w:rsidP="00690B8F">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16C5CB0A" wp14:editId="3D0B0D62">
          <wp:extent cx="166370" cy="166370"/>
          <wp:effectExtent l="0" t="0" r="5080" b="5080"/>
          <wp:docPr id="6" name="Picture 6"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71A5B66B" w14:textId="77777777" w:rsidR="00E531E9" w:rsidRPr="00F11BDC" w:rsidRDefault="00E531E9" w:rsidP="00F11BDC">
    <w:pPr>
      <w:pStyle w:val="Header"/>
      <w:tabs>
        <w:tab w:val="clear" w:pos="4513"/>
        <w:tab w:val="clear" w:pos="9026"/>
        <w:tab w:val="left" w:pos="7845"/>
      </w:tabs>
      <w:rPr>
        <w:rFonts w:asciiTheme="majorHAnsi" w:hAnsiTheme="majorHAnsi"/>
        <w:color w:val="806000" w:themeColor="accent4" w:themeShade="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BB56" w14:textId="77777777" w:rsidR="003077E9" w:rsidRDefault="003077E9" w:rsidP="003077E9">
    <w:pPr>
      <w:spacing w:after="0" w:line="240" w:lineRule="auto"/>
      <w:jc w:val="both"/>
      <w:rPr>
        <w:color w:val="7B7B7B" w:themeColor="accent3" w:themeShade="BF"/>
        <w:sz w:val="20"/>
      </w:rPr>
    </w:pPr>
  </w:p>
  <w:p w14:paraId="349398FA" w14:textId="77777777" w:rsidR="003077E9" w:rsidRPr="00CB0E47" w:rsidRDefault="003077E9" w:rsidP="003077E9">
    <w:pPr>
      <w:pStyle w:val="Footer"/>
      <w:rPr>
        <w:color w:val="7B7B7B" w:themeColor="accent3" w:themeShade="BF"/>
        <w:sz w:val="20"/>
      </w:rPr>
    </w:pPr>
    <w:r w:rsidRPr="003A1D15">
      <w:rPr>
        <w:noProof/>
        <w:color w:val="7B7B7B" w:themeColor="accent3" w:themeShade="BF"/>
        <w:sz w:val="20"/>
        <w:lang w:eastAsia="en-GB"/>
      </w:rPr>
      <w:drawing>
        <wp:inline distT="0" distB="0" distL="0" distR="0" wp14:anchorId="1D607448" wp14:editId="1859B03F">
          <wp:extent cx="166370" cy="166370"/>
          <wp:effectExtent l="0" t="0" r="5080" b="5080"/>
          <wp:docPr id="5" name="Picture 5"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2B84F351" w14:textId="42BDD587" w:rsidR="007C7E58" w:rsidRPr="00CB0E47" w:rsidRDefault="007C7E58">
    <w:pPr>
      <w:pStyle w:val="Footer"/>
      <w:rPr>
        <w:color w:val="7B7B7B" w:themeColor="accent3" w:themeShade="B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4993C" w14:textId="77777777" w:rsidR="003C7DEB" w:rsidRDefault="003C7DEB" w:rsidP="00E531E9">
      <w:pPr>
        <w:spacing w:after="0" w:line="240" w:lineRule="auto"/>
      </w:pPr>
      <w:r>
        <w:separator/>
      </w:r>
    </w:p>
  </w:footnote>
  <w:footnote w:type="continuationSeparator" w:id="0">
    <w:p w14:paraId="141637B7" w14:textId="77777777" w:rsidR="003C7DEB" w:rsidRDefault="003C7DEB" w:rsidP="00E53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23C7" w14:textId="77777777" w:rsidR="00AD1DBB" w:rsidRDefault="00AD1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C9F68" w14:textId="77777777" w:rsidR="00E531E9" w:rsidRPr="00F11BDC" w:rsidRDefault="0046672E" w:rsidP="006441AC">
    <w:pPr>
      <w:pStyle w:val="Header"/>
      <w:rPr>
        <w:rFonts w:asciiTheme="majorHAnsi" w:hAnsiTheme="majorHAnsi"/>
        <w:color w:val="806000" w:themeColor="accent4" w:themeShade="80"/>
        <w:sz w:val="16"/>
      </w:rP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895" behindDoc="0" locked="0" layoutInCell="1" allowOverlap="1" wp14:anchorId="568840C7" wp14:editId="4429F340">
              <wp:simplePos x="0" y="0"/>
              <wp:positionH relativeFrom="column">
                <wp:posOffset>-76200</wp:posOffset>
              </wp:positionH>
              <wp:positionV relativeFrom="page">
                <wp:posOffset>419100</wp:posOffset>
              </wp:positionV>
              <wp:extent cx="6040755" cy="3594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14:paraId="092E275B" w14:textId="77777777" w:rsidR="0046672E" w:rsidRPr="00F6137F" w:rsidRDefault="0046672E"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00022E5D">
                            <w:rPr>
                              <w:color w:val="7B7B7B" w:themeColor="accent3" w:themeShade="BF"/>
                            </w:rPr>
                            <w:t xml:space="preserve">                                        </w:t>
                          </w:r>
                          <w:r>
                            <w:rPr>
                              <w:color w:val="7B7B7B" w:themeColor="accent3" w:themeShade="BF"/>
                            </w:rPr>
                            <w:t xml:space="preserve">  </w:t>
                          </w:r>
                          <w:r w:rsidRPr="00F6137F">
                            <w:rPr>
                              <w:color w:val="7B7B7B" w:themeColor="accent3" w:themeShade="BF"/>
                            </w:rPr>
                            <w:t xml:space="preserve"> </w:t>
                          </w:r>
                          <w:r w:rsidR="00022E5D">
                            <w:rPr>
                              <w:color w:val="7B7B7B" w:themeColor="accent3" w:themeShade="BF"/>
                            </w:rPr>
                            <w:t>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840C7" id="_x0000_t202" coordsize="21600,21600" o:spt="202" path="m,l,21600r21600,l21600,xe">
              <v:stroke joinstyle="miter"/>
              <v:path gradientshapeok="t" o:connecttype="rect"/>
            </v:shapetype>
            <v:shape id="_x0000_s1027" type="#_x0000_t202" style="position:absolute;margin-left:-6pt;margin-top:33pt;width:475.65pt;height:28.3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8JKQIAAEM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SgxTKNE&#10;T2IM5B2MpIjsDNaXGPRoMSyMeI0qp0q9fQD+3RMD256ZTtw5B0MvWIPZzePL7OLphOMjSD18gga/&#10;YfsACWhsnY7UIRkE0VGl41mZmArHy6t8kV8vl5Rw9L1drhbzJF3GyufX1vnwQYAm8VBRh8ondHZ4&#10;8CFmw8rnkPiZByWbnVQqGa6rt8qRA8Mu2aWVCngRpgwZKrpaFsuJgD8gYsOKM0jdTRS8QNAyYLcr&#10;qSt6k8c19V9k7b1pUi8GJtV0xoyVOdEYmZs4DGM9nmSpoTkioQ6mrsYpxEMP7iclA3Z0Rf2PPXOC&#10;EvXRoCir+WIRRyAZi+V1gYa79NSXHmY4QlU0UDIdtyGNTeTLwB2K18rEa1R5yuSUK3Zqovs0VXEU&#10;Lu0U9Xv2N78AAAD//wMAUEsDBBQABgAIAAAAIQD2v5QF3wAAAAoBAAAPAAAAZHJzL2Rvd25yZXYu&#10;eG1sTI/BTsMwDIbvSLxDZCRuW7oORbQ0nRCI3RCioG3HtDFtReNUTbYVnh5zgpNl+dPv7y82sxvE&#10;CafQe9KwWiYgkBpve2o1vL89LW5BhGjImsETavjCAJvy8qIwufVnesVTFVvBIRRyo6GLccylDE2H&#10;zoSlH5H49uEnZyKvUyvtZM4c7gaZJomSzvTEHzoz4kOHzWd1dBpCk6jdy02129dyi9+ZtY+H7bPW&#10;11fz/R2IiHP8g+FXn9WhZKfaH8kGMWhYrFLuEjUoxZOBbJ2tQdRMpqkCWRbyf4XyBwAA//8DAFBL&#10;AQItABQABgAIAAAAIQC2gziS/gAAAOEBAAATAAAAAAAAAAAAAAAAAAAAAABbQ29udGVudF9UeXBl&#10;c10ueG1sUEsBAi0AFAAGAAgAAAAhADj9If/WAAAAlAEAAAsAAAAAAAAAAAAAAAAALwEAAF9yZWxz&#10;Ly5yZWxzUEsBAi0AFAAGAAgAAAAhAI0/rwkpAgAAQwQAAA4AAAAAAAAAAAAAAAAALgIAAGRycy9l&#10;Mm9Eb2MueG1sUEsBAi0AFAAGAAgAAAAhAPa/lAXfAAAACgEAAA8AAAAAAAAAAAAAAAAAgwQAAGRy&#10;cy9kb3ducmV2LnhtbFBLBQYAAAAABAAEAPMAAACPBQAAAAA=&#10;" strokecolor="white [3212]">
              <v:textbox>
                <w:txbxContent>
                  <w:p w14:paraId="092E275B" w14:textId="77777777" w:rsidR="0046672E" w:rsidRPr="00F6137F" w:rsidRDefault="0046672E"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00022E5D">
                      <w:rPr>
                        <w:color w:val="7B7B7B" w:themeColor="accent3" w:themeShade="BF"/>
                      </w:rPr>
                      <w:t xml:space="preserve">                                        </w:t>
                    </w:r>
                    <w:r>
                      <w:rPr>
                        <w:color w:val="7B7B7B" w:themeColor="accent3" w:themeShade="BF"/>
                      </w:rPr>
                      <w:t xml:space="preserve">  </w:t>
                    </w:r>
                    <w:r w:rsidRPr="00F6137F">
                      <w:rPr>
                        <w:color w:val="7B7B7B" w:themeColor="accent3" w:themeShade="BF"/>
                      </w:rPr>
                      <w:t xml:space="preserve"> </w:t>
                    </w:r>
                    <w:r w:rsidR="00022E5D">
                      <w:rPr>
                        <w:color w:val="7B7B7B" w:themeColor="accent3" w:themeShade="BF"/>
                      </w:rPr>
                      <w:t>Page</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7F29F" w14:textId="77777777" w:rsidR="002E7917" w:rsidRDefault="007451DF">
    <w:pPr>
      <w:pStyle w:val="Heade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384" behindDoc="0" locked="0" layoutInCell="1" allowOverlap="1" wp14:anchorId="1865B9BD" wp14:editId="149F06FF">
              <wp:simplePos x="0" y="0"/>
              <wp:positionH relativeFrom="column">
                <wp:posOffset>-114300</wp:posOffset>
              </wp:positionH>
              <wp:positionV relativeFrom="page">
                <wp:posOffset>571500</wp:posOffset>
              </wp:positionV>
              <wp:extent cx="6160770" cy="1524000"/>
              <wp:effectExtent l="0" t="0" r="11430" b="1905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524000"/>
                      </a:xfrm>
                      <a:prstGeom prst="rect">
                        <a:avLst/>
                      </a:prstGeom>
                      <a:solidFill>
                        <a:srgbClr val="FFFFFF"/>
                      </a:solidFill>
                      <a:ln w="9525">
                        <a:solidFill>
                          <a:schemeClr val="bg1"/>
                        </a:solidFill>
                        <a:miter lim="800000"/>
                        <a:headEnd/>
                        <a:tailEnd/>
                      </a:ln>
                    </wps:spPr>
                    <wps:txbx>
                      <w:txbxContent>
                        <w:p w14:paraId="41DA1AD4" w14:textId="77777777" w:rsidR="00043F52" w:rsidRDefault="00043F52" w:rsidP="007451DF">
                          <w:pPr>
                            <w:pStyle w:val="Footer"/>
                            <w:rPr>
                              <w:rFonts w:ascii="Calibri Light" w:hAnsi="Calibri Light"/>
                              <w:color w:val="BF8F00" w:themeColor="accent4" w:themeShade="BF"/>
                            </w:rPr>
                          </w:pPr>
                          <w:r>
                            <w:rPr>
                              <w:noProof/>
                              <w:lang w:eastAsia="en-GB"/>
                            </w:rPr>
                            <w:drawing>
                              <wp:inline distT="0" distB="0" distL="0" distR="0" wp14:anchorId="1B98BF24" wp14:editId="4DE98871">
                                <wp:extent cx="1285364" cy="782320"/>
                                <wp:effectExtent l="0" t="0" r="0" b="0"/>
                                <wp:docPr id="20" name="Picture 2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7440803" w14:textId="77777777" w:rsidR="007451DF" w:rsidRPr="007451DF" w:rsidRDefault="007451DF" w:rsidP="007451DF">
                          <w:pPr>
                            <w:pStyle w:val="Footer"/>
                            <w:rPr>
                              <w:rFonts w:ascii="Calibri Light" w:hAnsi="Calibri Light"/>
                              <w:color w:val="BF8F00" w:themeColor="accent4" w:themeShade="BF"/>
                            </w:rPr>
                          </w:pPr>
                        </w:p>
                        <w:p w14:paraId="37F4427E" w14:textId="77777777" w:rsidR="00043F52" w:rsidRDefault="007451DF" w:rsidP="00043F52">
                          <w:pPr>
                            <w:rPr>
                              <w:rFonts w:asciiTheme="majorHAnsi" w:hAnsiTheme="majorHAnsi"/>
                              <w:b/>
                              <w:color w:val="BF8F00" w:themeColor="accent4" w:themeShade="BF"/>
                            </w:rPr>
                          </w:pPr>
                          <w:r>
                            <w:rPr>
                              <w:color w:val="806000" w:themeColor="accent4" w:themeShade="80"/>
                            </w:rPr>
                            <w:t xml:space="preserve"> </w:t>
                          </w:r>
                          <w:r w:rsidR="00043F52" w:rsidRPr="00136C66">
                            <w:rPr>
                              <w:rFonts w:asciiTheme="majorHAnsi" w:hAnsiTheme="majorHAnsi"/>
                              <w:b/>
                              <w:color w:val="BF8F00" w:themeColor="accent4" w:themeShade="BF"/>
                            </w:rPr>
                            <w:t>Volume 1, Issue 1                                                                                                                      September 2017</w:t>
                          </w:r>
                        </w:p>
                        <w:p w14:paraId="30A7A8BA" w14:textId="56D5F35A" w:rsidR="00136C66" w:rsidRPr="00136C66" w:rsidRDefault="00136C66" w:rsidP="00043F52">
                          <w:pPr>
                            <w:rPr>
                              <w:rFonts w:asciiTheme="majorHAnsi" w:hAnsiTheme="majorHAnsi"/>
                              <w:color w:val="BF8F00" w:themeColor="accent4" w:themeShade="BF"/>
                            </w:rPr>
                          </w:pPr>
                          <w:r>
                            <w:rPr>
                              <w:rFonts w:asciiTheme="majorHAnsi" w:hAnsiTheme="majorHAnsi"/>
                              <w:color w:val="BF8F00" w:themeColor="accent4" w:themeShade="BF"/>
                            </w:rPr>
                            <w:t xml:space="preserve"> </w:t>
                          </w:r>
                          <w:r w:rsidRPr="00136C66">
                            <w:rPr>
                              <w:rFonts w:asciiTheme="majorHAnsi" w:hAnsiTheme="majorHAnsi"/>
                              <w:color w:val="BF8F00" w:themeColor="accent4" w:themeShade="BF"/>
                            </w:rPr>
                            <w:t>Page</w:t>
                          </w:r>
                          <w:r w:rsidR="00026F4A">
                            <w:rPr>
                              <w:rFonts w:asciiTheme="majorHAnsi" w:hAnsiTheme="majorHAnsi"/>
                              <w:color w:val="BF8F00" w:themeColor="accent4" w:themeShade="BF"/>
                            </w:rPr>
                            <w:t>s</w:t>
                          </w:r>
                          <w:r w:rsidRPr="00136C66">
                            <w:rPr>
                              <w:rFonts w:asciiTheme="majorHAnsi" w:hAnsiTheme="majorHAnsi"/>
                              <w:color w:val="BF8F00" w:themeColor="accent4" w:themeShade="BF"/>
                            </w:rPr>
                            <w:t>:</w:t>
                          </w:r>
                          <w:r w:rsidR="00AD1DBB">
                            <w:rPr>
                              <w:rFonts w:asciiTheme="majorHAnsi" w:hAnsiTheme="majorHAnsi"/>
                              <w:color w:val="BF8F00" w:themeColor="accent4" w:themeShade="BF"/>
                            </w:rPr>
                            <w:t xml:space="preserve"> 108</w:t>
                          </w:r>
                          <w:r w:rsidR="00125AAF">
                            <w:rPr>
                              <w:rFonts w:asciiTheme="majorHAnsi" w:hAnsiTheme="majorHAnsi"/>
                              <w:color w:val="BF8F00" w:themeColor="accent4" w:themeShade="BF"/>
                            </w:rPr>
                            <w:t>-</w:t>
                          </w:r>
                          <w:r w:rsidR="00AD1DBB">
                            <w:rPr>
                              <w:rFonts w:asciiTheme="majorHAnsi" w:hAnsiTheme="majorHAnsi"/>
                              <w:color w:val="BF8F00" w:themeColor="accent4" w:themeShade="BF"/>
                            </w:rPr>
                            <w:t>113</w:t>
                          </w:r>
                        </w:p>
                        <w:p w14:paraId="2B00AFF4" w14:textId="77777777" w:rsidR="00136C66" w:rsidRDefault="00136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5B9BD" id="_x0000_t202" coordsize="21600,21600" o:spt="202" path="m,l,21600r21600,l21600,xe">
              <v:stroke joinstyle="miter"/>
              <v:path gradientshapeok="t" o:connecttype="rect"/>
            </v:shapetype>
            <v:shape id="_x0000_s1028" type="#_x0000_t202" style="position:absolute;margin-left:-9pt;margin-top:45pt;width:485.1pt;height:1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FTLAIAAEwEAAAOAAAAZHJzL2Uyb0RvYy54bWysVNuO0zAQfUfiHyy/01zUy27UdLV0KUJa&#10;FqRdPsBxnMTC9gTbbVK+nrHTlrK8IfJgeTzj45lzZrK+G7UiB2GdBFPSbJZSIgyHWpq2pN9edu9u&#10;KHGemZopMKKkR+Ho3ebtm/XQFyKHDlQtLEEQ44qhL2nnfV8kieOd0MzNoBcGnQ1YzTyatk1qywZE&#10;1yrJ03SZDGDr3gIXzuHpw+Skm4jfNIL7L03jhCeqpJibj6uNaxXWZLNmRWtZ30l+SoP9QxaaSYOP&#10;XqAemGdkb+VfUFpyCw4aP+OgE2gayUWsAavJ0lfVPHesF7EWJMf1F5rc/4PlT4evlsgatVtSYphG&#10;jV7E6Ml7GEke6Bl6V2DUc49xfsRjDI2luv4R+HdHDGw7Zlpxby0MnWA1ppeFm8nV1QnHBZBq+Aw1&#10;PsP2HiLQ2FgduEM2CKKjTMeLNCEVjofLbJmuVuji6MsW+TxNo3gJK87Xe+v8RwGahE1JLWof4dnh&#10;0fmQDivOIeE1B0rWO6lUNGxbbZUlB4Z9sotfrOBVmDJkKOntIl9MDPwBEVpWXECqduLgFYKWHvtd&#10;SV3SGyxhKoIVgbYPpo7d6JlU0x4zVubEY6BuItGP1TgpdpangvqIxFqY2hvHETcd2J+UDNjaJXU/&#10;9swKStQng+LcZvN5mIVozBerHA177amuPcxwhCqpp2Tabn2cn0CbgXsUsZGR3qD2lMkpZWzZyPpp&#10;vMJMXNsx6vdPYPMLAAD//wMAUEsDBBQABgAIAAAAIQDzFddn4AAAAAoBAAAPAAAAZHJzL2Rvd25y&#10;ZXYueG1sTI9BT8MwDIXvSPyHyEjctmQdTGupOyEQuyFEQYNj2pi2okmqJtvKfj3eCU6W/Z6ev5dv&#10;JtuLA42h8w5hMVcgyNXedK5BeH97mq1BhKid0b13hPBDATbF5UWuM+OP7pUOZWwEh7iQaYQ2xiGT&#10;MtQtWR3mfiDH2pcfrY68jo00oz5yuO1lotRKWt05/tDqgR5aqr/LvUUItVrtXm7K3Uclt3RKjXn8&#10;3D4jXl9N93cgIk3xzwxnfEaHgpkqv3cmiB5htlhzl4iQKp5sSG+TBESFsFzyRRa5/F+h+AUAAP//&#10;AwBQSwECLQAUAAYACAAAACEAtoM4kv4AAADhAQAAEwAAAAAAAAAAAAAAAAAAAAAAW0NvbnRlbnRf&#10;VHlwZXNdLnhtbFBLAQItABQABgAIAAAAIQA4/SH/1gAAAJQBAAALAAAAAAAAAAAAAAAAAC8BAABf&#10;cmVscy8ucmVsc1BLAQItABQABgAIAAAAIQA4CeFTLAIAAEwEAAAOAAAAAAAAAAAAAAAAAC4CAABk&#10;cnMvZTJvRG9jLnhtbFBLAQItABQABgAIAAAAIQDzFddn4AAAAAoBAAAPAAAAAAAAAAAAAAAAAIYE&#10;AABkcnMvZG93bnJldi54bWxQSwUGAAAAAAQABADzAAAAkwUAAAAA&#10;" strokecolor="white [3212]">
              <v:textbox>
                <w:txbxContent>
                  <w:p w14:paraId="41DA1AD4" w14:textId="77777777" w:rsidR="00043F52" w:rsidRDefault="00043F52" w:rsidP="007451DF">
                    <w:pPr>
                      <w:pStyle w:val="Footer"/>
                      <w:rPr>
                        <w:rFonts w:ascii="Calibri Light" w:hAnsi="Calibri Light"/>
                        <w:color w:val="BF8F00" w:themeColor="accent4" w:themeShade="BF"/>
                      </w:rPr>
                    </w:pPr>
                    <w:r>
                      <w:rPr>
                        <w:noProof/>
                        <w:lang w:eastAsia="en-GB"/>
                      </w:rPr>
                      <w:drawing>
                        <wp:inline distT="0" distB="0" distL="0" distR="0" wp14:anchorId="1B98BF24" wp14:editId="4DE98871">
                          <wp:extent cx="1285364" cy="782320"/>
                          <wp:effectExtent l="0" t="0" r="0" b="0"/>
                          <wp:docPr id="20" name="Picture 2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2"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7440803" w14:textId="77777777" w:rsidR="007451DF" w:rsidRPr="007451DF" w:rsidRDefault="007451DF" w:rsidP="007451DF">
                    <w:pPr>
                      <w:pStyle w:val="Footer"/>
                      <w:rPr>
                        <w:rFonts w:ascii="Calibri Light" w:hAnsi="Calibri Light"/>
                        <w:color w:val="BF8F00" w:themeColor="accent4" w:themeShade="BF"/>
                      </w:rPr>
                    </w:pPr>
                  </w:p>
                  <w:p w14:paraId="37F4427E" w14:textId="77777777" w:rsidR="00043F52" w:rsidRDefault="007451DF" w:rsidP="00043F52">
                    <w:pPr>
                      <w:rPr>
                        <w:rFonts w:asciiTheme="majorHAnsi" w:hAnsiTheme="majorHAnsi"/>
                        <w:b/>
                        <w:color w:val="BF8F00" w:themeColor="accent4" w:themeShade="BF"/>
                      </w:rPr>
                    </w:pPr>
                    <w:r>
                      <w:rPr>
                        <w:color w:val="806000" w:themeColor="accent4" w:themeShade="80"/>
                      </w:rPr>
                      <w:t xml:space="preserve"> </w:t>
                    </w:r>
                    <w:r w:rsidR="00043F52" w:rsidRPr="00136C66">
                      <w:rPr>
                        <w:rFonts w:asciiTheme="majorHAnsi" w:hAnsiTheme="majorHAnsi"/>
                        <w:b/>
                        <w:color w:val="BF8F00" w:themeColor="accent4" w:themeShade="BF"/>
                      </w:rPr>
                      <w:t>Volume 1, Issue 1                                                                                                                      September 2017</w:t>
                    </w:r>
                  </w:p>
                  <w:p w14:paraId="30A7A8BA" w14:textId="56D5F35A" w:rsidR="00136C66" w:rsidRPr="00136C66" w:rsidRDefault="00136C66" w:rsidP="00043F52">
                    <w:pPr>
                      <w:rPr>
                        <w:rFonts w:asciiTheme="majorHAnsi" w:hAnsiTheme="majorHAnsi"/>
                        <w:color w:val="BF8F00" w:themeColor="accent4" w:themeShade="BF"/>
                      </w:rPr>
                    </w:pPr>
                    <w:r>
                      <w:rPr>
                        <w:rFonts w:asciiTheme="majorHAnsi" w:hAnsiTheme="majorHAnsi"/>
                        <w:color w:val="BF8F00" w:themeColor="accent4" w:themeShade="BF"/>
                      </w:rPr>
                      <w:t xml:space="preserve"> </w:t>
                    </w:r>
                    <w:r w:rsidRPr="00136C66">
                      <w:rPr>
                        <w:rFonts w:asciiTheme="majorHAnsi" w:hAnsiTheme="majorHAnsi"/>
                        <w:color w:val="BF8F00" w:themeColor="accent4" w:themeShade="BF"/>
                      </w:rPr>
                      <w:t>Page</w:t>
                    </w:r>
                    <w:r w:rsidR="00026F4A">
                      <w:rPr>
                        <w:rFonts w:asciiTheme="majorHAnsi" w:hAnsiTheme="majorHAnsi"/>
                        <w:color w:val="BF8F00" w:themeColor="accent4" w:themeShade="BF"/>
                      </w:rPr>
                      <w:t>s</w:t>
                    </w:r>
                    <w:r w:rsidRPr="00136C66">
                      <w:rPr>
                        <w:rFonts w:asciiTheme="majorHAnsi" w:hAnsiTheme="majorHAnsi"/>
                        <w:color w:val="BF8F00" w:themeColor="accent4" w:themeShade="BF"/>
                      </w:rPr>
                      <w:t>:</w:t>
                    </w:r>
                    <w:r w:rsidR="00AD1DBB">
                      <w:rPr>
                        <w:rFonts w:asciiTheme="majorHAnsi" w:hAnsiTheme="majorHAnsi"/>
                        <w:color w:val="BF8F00" w:themeColor="accent4" w:themeShade="BF"/>
                      </w:rPr>
                      <w:t xml:space="preserve"> 108</w:t>
                    </w:r>
                    <w:r w:rsidR="00125AAF">
                      <w:rPr>
                        <w:rFonts w:asciiTheme="majorHAnsi" w:hAnsiTheme="majorHAnsi"/>
                        <w:color w:val="BF8F00" w:themeColor="accent4" w:themeShade="BF"/>
                      </w:rPr>
                      <w:t>-</w:t>
                    </w:r>
                    <w:r w:rsidR="00AD1DBB">
                      <w:rPr>
                        <w:rFonts w:asciiTheme="majorHAnsi" w:hAnsiTheme="majorHAnsi"/>
                        <w:color w:val="BF8F00" w:themeColor="accent4" w:themeShade="BF"/>
                      </w:rPr>
                      <w:t>113</w:t>
                    </w:r>
                  </w:p>
                  <w:p w14:paraId="2B00AFF4" w14:textId="77777777" w:rsidR="00136C66" w:rsidRDefault="00136C66"/>
                </w:txbxContent>
              </v:textbox>
              <w10:wrap type="topAndBottom" anchory="page"/>
            </v:shape>
          </w:pict>
        </mc:Fallback>
      </mc:AlternateContent>
    </w:r>
    <w:r>
      <w:rPr>
        <w:rFonts w:ascii="Calibri Light" w:hAnsi="Calibri Light"/>
        <w:b/>
        <w:noProof/>
        <w:color w:val="BF8F00" w:themeColor="accent4" w:themeShade="BF"/>
        <w:sz w:val="16"/>
        <w:lang w:eastAsia="en-GB"/>
      </w:rPr>
      <mc:AlternateContent>
        <mc:Choice Requires="wps">
          <w:drawing>
            <wp:anchor distT="0" distB="0" distL="114300" distR="114300" simplePos="0" relativeHeight="251665408" behindDoc="0" locked="0" layoutInCell="1" allowOverlap="1" wp14:anchorId="5CD12B87" wp14:editId="5F7FB082">
              <wp:simplePos x="0" y="0"/>
              <wp:positionH relativeFrom="column">
                <wp:posOffset>1293495</wp:posOffset>
              </wp:positionH>
              <wp:positionV relativeFrom="paragraph">
                <wp:posOffset>748895</wp:posOffset>
              </wp:positionV>
              <wp:extent cx="4639661" cy="25273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4639661"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778CCB" w14:textId="77777777" w:rsidR="00B03103" w:rsidRPr="00B03103" w:rsidRDefault="00B03103">
                          <w:pPr>
                            <w:rPr>
                              <w:color w:val="BF8F00" w:themeColor="accent4" w:themeShade="BF"/>
                              <w:sz w:val="20"/>
                            </w:rPr>
                          </w:pPr>
                          <w:r w:rsidRPr="00B03103">
                            <w:rPr>
                              <w:color w:val="BF8F00" w:themeColor="accent4" w:themeShade="BF"/>
                              <w:sz w:val="20"/>
                            </w:rPr>
                            <w:t>A journal dedicated to the scholarship of teach</w:t>
                          </w:r>
                          <w:r w:rsidR="007451DF">
                            <w:rPr>
                              <w:color w:val="BF8F00" w:themeColor="accent4" w:themeShade="BF"/>
                              <w:sz w:val="20"/>
                            </w:rPr>
                            <w:t>ing and learning in the ‘global s</w:t>
                          </w:r>
                          <w:r w:rsidRPr="00B03103">
                            <w:rPr>
                              <w:color w:val="BF8F00" w:themeColor="accent4" w:themeShade="BF"/>
                              <w:sz w:val="20"/>
                            </w:rPr>
                            <w:t>outh</w:t>
                          </w:r>
                          <w:r w:rsidR="007451DF">
                            <w:rPr>
                              <w:color w:val="BF8F00" w:themeColor="accent4"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2B87" id="Text Box 1" o:spid="_x0000_s1029" type="#_x0000_t202" style="position:absolute;margin-left:101.85pt;margin-top:58.95pt;width:365.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cokgIAALkFAAAOAAAAZHJzL2Uyb0RvYy54bWysVEtvGyEQvlfqf0Dc67Udx2msrCM3katK&#10;URLVqXLGLNiowFDA3nV/fQd2/UiaS6pedoH55vXN4+q6MZpshQ8KbEkHvT4lwnKolF2V9MfT/NNn&#10;SkJktmIarCjpTgR6Pf344ap2EzGENehKeIJGbJjUrqTrGN2kKAJfC8NCD5ywKJTgDYt49aui8qxG&#10;60YXw35/XNTgK+eBixDw9bYV0mm2L6Xg8UHKICLRJcXYYv76/F2mbzG9YpOVZ26teBcG+4coDFMW&#10;nR5M3bLIyMarv0wZxT0EkLHHwRQgpeIi54DZDPqvslmsmRM5FyQnuANN4f+Z5ffbR09UhbWjxDKD&#10;JXoSTSRfoCGDxE7twgRBC4ew2OBzQnbvAR9T0o30Jv0xHYJy5Hl34DYZ4/g4Gp9djsfohKNseD68&#10;OMvkF0dt50P8KsCQdCipx9plStn2LkT0iNA9JDkLoFU1V1rnS+oXcaM92TKstI45RtR4gdKW1CUd&#10;n533s+EXstxxRwvL1RsW0J62yZ3IndWFlRhqmcinuNMiYbT9LiQymwl5I0bGubCHODM6oSRm9B7F&#10;Dn+M6j3KbR6okT2DjQdloyz4lqWX1FY/98TIFo+FOck7HWOzbHJLDfeNsoRqh/3joZ2/4PhcYZHv&#10;WIiPzOPAYcvgEokP+JEasEjQnShZg//91nvC4xyglJIaB7ik4deGeUGJ/mZxQi4Ho1Ga+HwZnV8M&#10;8eJPJctTid2YG8DOwQbF6PIx4aPeH6UH84y7Zpa8oohZjr5LGvfHm9iuFdxVXMxmGYQz7li8swvH&#10;k+nEcmrhp+aZedf1ecQJuYf9qLPJq3ZvsUnTwmwTQao8C4nnltWOf9wPeUS6XZYW0Ok9o44bd/oH&#10;AAD//wMAUEsDBBQABgAIAAAAIQDPAuTf4AAAAAsBAAAPAAAAZHJzL2Rvd25yZXYueG1sTI/BSsNA&#10;EIbvgu+wjODNbtpE08ZsSlBEUEGsvfQ2TcYkmJ0N2W2bvr3jSY8z/8c/3+TryfbqSKPvHBuYzyJQ&#10;xJWrO24MbD+fbpagfECusXdMBs7kYV1cXuSY1e7EH3TchEZJCfsMDbQhDJnWvmrJop+5gViyLzda&#10;DDKOja5HPEm57fUiiu60xY7lQosDPbRUfW8O1sBLssPHOLzSOfD0XpbPyyHxb8ZcX03lPahAU/iD&#10;4Vdf1KEQp707cO1Vb2ARxamgEszTFSghVnGSgNrL5jZNQRe5/v9D8QMAAP//AwBQSwECLQAUAAYA&#10;CAAAACEAtoM4kv4AAADhAQAAEwAAAAAAAAAAAAAAAAAAAAAAW0NvbnRlbnRfVHlwZXNdLnhtbFBL&#10;AQItABQABgAIAAAAIQA4/SH/1gAAAJQBAAALAAAAAAAAAAAAAAAAAC8BAABfcmVscy8ucmVsc1BL&#10;AQItABQABgAIAAAAIQCWhYcokgIAALkFAAAOAAAAAAAAAAAAAAAAAC4CAABkcnMvZTJvRG9jLnht&#10;bFBLAQItABQABgAIAAAAIQDPAuTf4AAAAAsBAAAPAAAAAAAAAAAAAAAAAOwEAABkcnMvZG93bnJl&#10;di54bWxQSwUGAAAAAAQABADzAAAA+QUAAAAA&#10;" fillcolor="white [3201]" strokecolor="white [3212]" strokeweight=".5pt">
              <v:textbox>
                <w:txbxContent>
                  <w:p w14:paraId="24778CCB" w14:textId="77777777" w:rsidR="00B03103" w:rsidRPr="00B03103" w:rsidRDefault="00B03103">
                    <w:pPr>
                      <w:rPr>
                        <w:color w:val="BF8F00" w:themeColor="accent4" w:themeShade="BF"/>
                        <w:sz w:val="20"/>
                      </w:rPr>
                    </w:pPr>
                    <w:r w:rsidRPr="00B03103">
                      <w:rPr>
                        <w:color w:val="BF8F00" w:themeColor="accent4" w:themeShade="BF"/>
                        <w:sz w:val="20"/>
                      </w:rPr>
                      <w:t>A journal dedicated to the scholarship of teach</w:t>
                    </w:r>
                    <w:r w:rsidR="007451DF">
                      <w:rPr>
                        <w:color w:val="BF8F00" w:themeColor="accent4" w:themeShade="BF"/>
                        <w:sz w:val="20"/>
                      </w:rPr>
                      <w:t>ing and learning in the ‘global s</w:t>
                    </w:r>
                    <w:r w:rsidRPr="00B03103">
                      <w:rPr>
                        <w:color w:val="BF8F00" w:themeColor="accent4" w:themeShade="BF"/>
                        <w:sz w:val="20"/>
                      </w:rPr>
                      <w:t>outh</w:t>
                    </w:r>
                    <w:r w:rsidR="007451DF">
                      <w:rPr>
                        <w:color w:val="BF8F00" w:themeColor="accent4" w:themeShade="BF"/>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073FC"/>
    <w:rsid w:val="00022E5D"/>
    <w:rsid w:val="000238BA"/>
    <w:rsid w:val="00024E11"/>
    <w:rsid w:val="00026456"/>
    <w:rsid w:val="00026F4A"/>
    <w:rsid w:val="00033DD6"/>
    <w:rsid w:val="00043F52"/>
    <w:rsid w:val="00051798"/>
    <w:rsid w:val="0007728C"/>
    <w:rsid w:val="00090BFB"/>
    <w:rsid w:val="00094789"/>
    <w:rsid w:val="000A28B8"/>
    <w:rsid w:val="000B2AC2"/>
    <w:rsid w:val="000B48ED"/>
    <w:rsid w:val="000B6199"/>
    <w:rsid w:val="000C4FC0"/>
    <w:rsid w:val="000C5FEB"/>
    <w:rsid w:val="000D06D5"/>
    <w:rsid w:val="000D6C83"/>
    <w:rsid w:val="000F56A3"/>
    <w:rsid w:val="000F7D63"/>
    <w:rsid w:val="00107DAA"/>
    <w:rsid w:val="00123B51"/>
    <w:rsid w:val="001242E8"/>
    <w:rsid w:val="00125A10"/>
    <w:rsid w:val="00125AAF"/>
    <w:rsid w:val="00127986"/>
    <w:rsid w:val="00136C66"/>
    <w:rsid w:val="0016488B"/>
    <w:rsid w:val="0017498C"/>
    <w:rsid w:val="00177AE3"/>
    <w:rsid w:val="001809DC"/>
    <w:rsid w:val="0019729C"/>
    <w:rsid w:val="001A1900"/>
    <w:rsid w:val="001B77F1"/>
    <w:rsid w:val="001D016A"/>
    <w:rsid w:val="001D57E3"/>
    <w:rsid w:val="001D5952"/>
    <w:rsid w:val="001E4769"/>
    <w:rsid w:val="001E481E"/>
    <w:rsid w:val="001E6AD2"/>
    <w:rsid w:val="00200041"/>
    <w:rsid w:val="00205E99"/>
    <w:rsid w:val="00225E70"/>
    <w:rsid w:val="00263B1A"/>
    <w:rsid w:val="00290516"/>
    <w:rsid w:val="00290F6C"/>
    <w:rsid w:val="002A34C8"/>
    <w:rsid w:val="002C3508"/>
    <w:rsid w:val="002C6B1A"/>
    <w:rsid w:val="002D1C92"/>
    <w:rsid w:val="002D532A"/>
    <w:rsid w:val="002E7917"/>
    <w:rsid w:val="002F00CC"/>
    <w:rsid w:val="002F6977"/>
    <w:rsid w:val="003077E9"/>
    <w:rsid w:val="00307A90"/>
    <w:rsid w:val="00331188"/>
    <w:rsid w:val="00337EA4"/>
    <w:rsid w:val="00341576"/>
    <w:rsid w:val="00344D48"/>
    <w:rsid w:val="00347039"/>
    <w:rsid w:val="003515F2"/>
    <w:rsid w:val="003A1D15"/>
    <w:rsid w:val="003B4C1D"/>
    <w:rsid w:val="003C0ED4"/>
    <w:rsid w:val="003C5DFC"/>
    <w:rsid w:val="003C7DEB"/>
    <w:rsid w:val="003E0A90"/>
    <w:rsid w:val="003F345C"/>
    <w:rsid w:val="004002FE"/>
    <w:rsid w:val="00415DCD"/>
    <w:rsid w:val="00415E82"/>
    <w:rsid w:val="004221C4"/>
    <w:rsid w:val="00431C45"/>
    <w:rsid w:val="00442052"/>
    <w:rsid w:val="0046030E"/>
    <w:rsid w:val="004627BD"/>
    <w:rsid w:val="0046672E"/>
    <w:rsid w:val="00483B16"/>
    <w:rsid w:val="004905E0"/>
    <w:rsid w:val="00491605"/>
    <w:rsid w:val="004B0D81"/>
    <w:rsid w:val="004D445E"/>
    <w:rsid w:val="004D6E8C"/>
    <w:rsid w:val="004F28CB"/>
    <w:rsid w:val="00505405"/>
    <w:rsid w:val="00510860"/>
    <w:rsid w:val="00595195"/>
    <w:rsid w:val="005B2A74"/>
    <w:rsid w:val="005B6A82"/>
    <w:rsid w:val="005D2766"/>
    <w:rsid w:val="005D7C69"/>
    <w:rsid w:val="005E765E"/>
    <w:rsid w:val="005F66E4"/>
    <w:rsid w:val="005F6F87"/>
    <w:rsid w:val="005F702D"/>
    <w:rsid w:val="006420E1"/>
    <w:rsid w:val="006441AC"/>
    <w:rsid w:val="0066535A"/>
    <w:rsid w:val="00671DAA"/>
    <w:rsid w:val="006830F5"/>
    <w:rsid w:val="00687802"/>
    <w:rsid w:val="00690B8F"/>
    <w:rsid w:val="006C65B6"/>
    <w:rsid w:val="006D153F"/>
    <w:rsid w:val="006D157A"/>
    <w:rsid w:val="006D426A"/>
    <w:rsid w:val="006D5BC0"/>
    <w:rsid w:val="006F5A03"/>
    <w:rsid w:val="007078F0"/>
    <w:rsid w:val="00743BEB"/>
    <w:rsid w:val="007451DF"/>
    <w:rsid w:val="007476F2"/>
    <w:rsid w:val="00747F6B"/>
    <w:rsid w:val="00750849"/>
    <w:rsid w:val="00752D18"/>
    <w:rsid w:val="0076482D"/>
    <w:rsid w:val="00781B5A"/>
    <w:rsid w:val="007A17C3"/>
    <w:rsid w:val="007C0506"/>
    <w:rsid w:val="007C34C9"/>
    <w:rsid w:val="007C7E58"/>
    <w:rsid w:val="007D71EA"/>
    <w:rsid w:val="007F0258"/>
    <w:rsid w:val="007F73C9"/>
    <w:rsid w:val="00804DB1"/>
    <w:rsid w:val="008178FD"/>
    <w:rsid w:val="00823769"/>
    <w:rsid w:val="0082670A"/>
    <w:rsid w:val="008845DA"/>
    <w:rsid w:val="00895301"/>
    <w:rsid w:val="008968CF"/>
    <w:rsid w:val="008A2218"/>
    <w:rsid w:val="008B418D"/>
    <w:rsid w:val="008B538F"/>
    <w:rsid w:val="008C40D5"/>
    <w:rsid w:val="008D2CFB"/>
    <w:rsid w:val="008D4669"/>
    <w:rsid w:val="008E2C02"/>
    <w:rsid w:val="008F36E4"/>
    <w:rsid w:val="0090253B"/>
    <w:rsid w:val="00903045"/>
    <w:rsid w:val="0092208E"/>
    <w:rsid w:val="00931EA9"/>
    <w:rsid w:val="00931FA3"/>
    <w:rsid w:val="009343E2"/>
    <w:rsid w:val="0093536B"/>
    <w:rsid w:val="00971F22"/>
    <w:rsid w:val="00986D1A"/>
    <w:rsid w:val="009A12ED"/>
    <w:rsid w:val="009B2A9E"/>
    <w:rsid w:val="009B4A6B"/>
    <w:rsid w:val="009B728B"/>
    <w:rsid w:val="009D1CE8"/>
    <w:rsid w:val="009E0009"/>
    <w:rsid w:val="009E0CD8"/>
    <w:rsid w:val="009F6A7C"/>
    <w:rsid w:val="00A12C43"/>
    <w:rsid w:val="00A346EC"/>
    <w:rsid w:val="00A34B1B"/>
    <w:rsid w:val="00A3627A"/>
    <w:rsid w:val="00A6724A"/>
    <w:rsid w:val="00A80EED"/>
    <w:rsid w:val="00AD1DBB"/>
    <w:rsid w:val="00AD4119"/>
    <w:rsid w:val="00B03103"/>
    <w:rsid w:val="00B11540"/>
    <w:rsid w:val="00B176CC"/>
    <w:rsid w:val="00B26401"/>
    <w:rsid w:val="00B32CD5"/>
    <w:rsid w:val="00B52DBA"/>
    <w:rsid w:val="00B6482E"/>
    <w:rsid w:val="00B76342"/>
    <w:rsid w:val="00B83678"/>
    <w:rsid w:val="00BA018A"/>
    <w:rsid w:val="00BA1EAE"/>
    <w:rsid w:val="00BA485A"/>
    <w:rsid w:val="00BC2CA3"/>
    <w:rsid w:val="00BD3E5C"/>
    <w:rsid w:val="00BD67BD"/>
    <w:rsid w:val="00BF02D8"/>
    <w:rsid w:val="00BF226A"/>
    <w:rsid w:val="00C0066F"/>
    <w:rsid w:val="00C00CBC"/>
    <w:rsid w:val="00C208EC"/>
    <w:rsid w:val="00C2335B"/>
    <w:rsid w:val="00C314E7"/>
    <w:rsid w:val="00C33A2E"/>
    <w:rsid w:val="00C4794F"/>
    <w:rsid w:val="00C508F7"/>
    <w:rsid w:val="00C56916"/>
    <w:rsid w:val="00C60A47"/>
    <w:rsid w:val="00C82F51"/>
    <w:rsid w:val="00C969BE"/>
    <w:rsid w:val="00C96AB6"/>
    <w:rsid w:val="00CB0E47"/>
    <w:rsid w:val="00CB4A82"/>
    <w:rsid w:val="00CD6D78"/>
    <w:rsid w:val="00D03B76"/>
    <w:rsid w:val="00D10220"/>
    <w:rsid w:val="00D10A88"/>
    <w:rsid w:val="00D174F0"/>
    <w:rsid w:val="00D55606"/>
    <w:rsid w:val="00D92720"/>
    <w:rsid w:val="00DC039D"/>
    <w:rsid w:val="00DC0D63"/>
    <w:rsid w:val="00E052C4"/>
    <w:rsid w:val="00E0754B"/>
    <w:rsid w:val="00E15A24"/>
    <w:rsid w:val="00E20666"/>
    <w:rsid w:val="00E25255"/>
    <w:rsid w:val="00E272DE"/>
    <w:rsid w:val="00E531E9"/>
    <w:rsid w:val="00E55A0B"/>
    <w:rsid w:val="00E55A88"/>
    <w:rsid w:val="00E604CD"/>
    <w:rsid w:val="00E61495"/>
    <w:rsid w:val="00E641AD"/>
    <w:rsid w:val="00E70EEA"/>
    <w:rsid w:val="00E90A51"/>
    <w:rsid w:val="00ED159D"/>
    <w:rsid w:val="00EE2B57"/>
    <w:rsid w:val="00EE6EF8"/>
    <w:rsid w:val="00EF09CB"/>
    <w:rsid w:val="00EF51FE"/>
    <w:rsid w:val="00EF6FA2"/>
    <w:rsid w:val="00F063AF"/>
    <w:rsid w:val="00F11BDC"/>
    <w:rsid w:val="00F51499"/>
    <w:rsid w:val="00F546FE"/>
    <w:rsid w:val="00F6137F"/>
    <w:rsid w:val="00F65325"/>
    <w:rsid w:val="00F74FD4"/>
    <w:rsid w:val="00F77DC0"/>
    <w:rsid w:val="00F939BE"/>
    <w:rsid w:val="00FB26E0"/>
    <w:rsid w:val="00FC16E7"/>
    <w:rsid w:val="00FE309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43204"/>
  <w15:docId w15:val="{86BE786C-B4FB-4A4E-A4E0-F386A0AB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7F73C9"/>
    <w:pPr>
      <w:spacing w:before="100" w:beforeAutospacing="1" w:after="100" w:afterAutospacing="1" w:line="240" w:lineRule="auto"/>
      <w:outlineLvl w:val="0"/>
    </w:pPr>
    <w:rPr>
      <w:rFonts w:ascii="Times" w:eastAsia="Times New Roman"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E9"/>
  </w:style>
  <w:style w:type="paragraph" w:styleId="Footer">
    <w:name w:val="footer"/>
    <w:basedOn w:val="Normal"/>
    <w:link w:val="FooterChar"/>
    <w:uiPriority w:val="99"/>
    <w:unhideWhenUsed/>
    <w:rsid w:val="00E5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E9"/>
  </w:style>
  <w:style w:type="character" w:styleId="Hyperlink">
    <w:name w:val="Hyperlink"/>
    <w:basedOn w:val="DefaultParagraphFont"/>
    <w:uiPriority w:val="99"/>
    <w:unhideWhenUsed/>
    <w:rsid w:val="006441AC"/>
    <w:rPr>
      <w:color w:val="0563C1" w:themeColor="hyperlink"/>
      <w:u w:val="single"/>
    </w:rPr>
  </w:style>
  <w:style w:type="paragraph" w:styleId="NormalWeb">
    <w:name w:val="Normal (Web)"/>
    <w:basedOn w:val="Normal"/>
    <w:uiPriority w:val="99"/>
    <w:semiHidden/>
    <w:unhideWhenUsed/>
    <w:rsid w:val="0016488B"/>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semiHidden/>
    <w:unhideWhenUsed/>
    <w:rsid w:val="0016488B"/>
    <w:pPr>
      <w:spacing w:after="0" w:line="240" w:lineRule="auto"/>
    </w:pPr>
    <w:rPr>
      <w:rFonts w:eastAsiaTheme="minorEastAsia"/>
      <w:sz w:val="24"/>
      <w:szCs w:val="24"/>
      <w:lang w:val="en-US" w:eastAsia="ja-JP"/>
    </w:rPr>
  </w:style>
  <w:style w:type="character" w:customStyle="1" w:styleId="CommentTextChar">
    <w:name w:val="Comment Text Char"/>
    <w:basedOn w:val="DefaultParagraphFont"/>
    <w:link w:val="CommentText"/>
    <w:uiPriority w:val="99"/>
    <w:semiHidden/>
    <w:rsid w:val="0016488B"/>
    <w:rPr>
      <w:rFonts w:eastAsiaTheme="minorEastAsia"/>
      <w:sz w:val="24"/>
      <w:szCs w:val="24"/>
      <w:lang w:val="en-US" w:eastAsia="ja-JP"/>
    </w:rPr>
  </w:style>
  <w:style w:type="character" w:customStyle="1" w:styleId="Heading1Char">
    <w:name w:val="Heading 1 Char"/>
    <w:basedOn w:val="DefaultParagraphFont"/>
    <w:link w:val="Heading1"/>
    <w:uiPriority w:val="9"/>
    <w:rsid w:val="007F73C9"/>
    <w:rPr>
      <w:rFonts w:ascii="Times" w:eastAsia="Times New Roman" w:hAnsi="Times"/>
      <w:b/>
      <w:bCs/>
      <w:kern w:val="36"/>
      <w:sz w:val="48"/>
      <w:szCs w:val="48"/>
    </w:rPr>
  </w:style>
  <w:style w:type="paragraph" w:styleId="EndnoteText">
    <w:name w:val="endnote text"/>
    <w:basedOn w:val="Normal"/>
    <w:link w:val="EndnoteTextChar"/>
    <w:uiPriority w:val="99"/>
    <w:semiHidden/>
    <w:unhideWhenUsed/>
    <w:rsid w:val="007F73C9"/>
    <w:pPr>
      <w:spacing w:after="0" w:line="240" w:lineRule="auto"/>
    </w:pPr>
    <w:rPr>
      <w:rFonts w:ascii="Arial" w:hAnsi="Arial"/>
      <w:sz w:val="24"/>
      <w:szCs w:val="24"/>
    </w:rPr>
  </w:style>
  <w:style w:type="character" w:customStyle="1" w:styleId="EndnoteTextChar">
    <w:name w:val="Endnote Text Char"/>
    <w:basedOn w:val="DefaultParagraphFont"/>
    <w:link w:val="EndnoteText"/>
    <w:uiPriority w:val="99"/>
    <w:semiHidden/>
    <w:rsid w:val="007F73C9"/>
    <w:rPr>
      <w:rFonts w:ascii="Arial" w:hAnsi="Arial"/>
      <w:sz w:val="24"/>
      <w:szCs w:val="24"/>
    </w:rPr>
  </w:style>
  <w:style w:type="character" w:styleId="Strong">
    <w:name w:val="Strong"/>
    <w:basedOn w:val="DefaultParagraphFont"/>
    <w:uiPriority w:val="22"/>
    <w:qFormat/>
    <w:rsid w:val="007F73C9"/>
    <w:rPr>
      <w:b/>
      <w:bCs/>
    </w:rPr>
  </w:style>
  <w:style w:type="table" w:styleId="TableGrid">
    <w:name w:val="Table Grid"/>
    <w:basedOn w:val="TableNormal"/>
    <w:uiPriority w:val="39"/>
    <w:rsid w:val="0074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4205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AU" w:eastAsia="en-AU"/>
    </w:rPr>
  </w:style>
  <w:style w:type="character" w:styleId="CommentReference">
    <w:name w:val="annotation reference"/>
    <w:basedOn w:val="DefaultParagraphFont"/>
    <w:uiPriority w:val="99"/>
    <w:semiHidden/>
    <w:unhideWhenUsed/>
    <w:rsid w:val="008B538F"/>
    <w:rPr>
      <w:sz w:val="16"/>
      <w:szCs w:val="16"/>
    </w:rPr>
  </w:style>
  <w:style w:type="paragraph" w:styleId="CommentSubject">
    <w:name w:val="annotation subject"/>
    <w:basedOn w:val="CommentText"/>
    <w:next w:val="CommentText"/>
    <w:link w:val="CommentSubjectChar"/>
    <w:uiPriority w:val="99"/>
    <w:semiHidden/>
    <w:unhideWhenUsed/>
    <w:rsid w:val="008B538F"/>
    <w:pPr>
      <w:spacing w:after="160"/>
    </w:pPr>
    <w:rPr>
      <w:rFonts w:eastAsiaTheme="minorHAnsi"/>
      <w:b/>
      <w:bCs/>
      <w:sz w:val="20"/>
      <w:szCs w:val="20"/>
      <w:lang w:val="en-GB" w:eastAsia="en-US"/>
    </w:rPr>
  </w:style>
  <w:style w:type="character" w:customStyle="1" w:styleId="CommentSubjectChar">
    <w:name w:val="Comment Subject Char"/>
    <w:basedOn w:val="CommentTextChar"/>
    <w:link w:val="CommentSubject"/>
    <w:uiPriority w:val="99"/>
    <w:semiHidden/>
    <w:rsid w:val="008B538F"/>
    <w:rPr>
      <w:rFonts w:eastAsiaTheme="minorEastAsia"/>
      <w:b/>
      <w:bCs/>
      <w:sz w:val="20"/>
      <w:szCs w:val="20"/>
      <w:lang w:val="en-GB" w:eastAsia="ja-JP"/>
    </w:rPr>
  </w:style>
  <w:style w:type="paragraph" w:styleId="BalloonText">
    <w:name w:val="Balloon Text"/>
    <w:basedOn w:val="Normal"/>
    <w:link w:val="BalloonTextChar"/>
    <w:uiPriority w:val="99"/>
    <w:semiHidden/>
    <w:unhideWhenUsed/>
    <w:rsid w:val="008B5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8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334">
      <w:bodyDiv w:val="1"/>
      <w:marLeft w:val="0"/>
      <w:marRight w:val="0"/>
      <w:marTop w:val="0"/>
      <w:marBottom w:val="0"/>
      <w:divBdr>
        <w:top w:val="none" w:sz="0" w:space="0" w:color="auto"/>
        <w:left w:val="none" w:sz="0" w:space="0" w:color="auto"/>
        <w:bottom w:val="none" w:sz="0" w:space="0" w:color="auto"/>
        <w:right w:val="none" w:sz="0" w:space="0" w:color="auto"/>
      </w:divBdr>
    </w:div>
    <w:div w:id="493031502">
      <w:bodyDiv w:val="1"/>
      <w:marLeft w:val="0"/>
      <w:marRight w:val="0"/>
      <w:marTop w:val="0"/>
      <w:marBottom w:val="0"/>
      <w:divBdr>
        <w:top w:val="none" w:sz="0" w:space="0" w:color="auto"/>
        <w:left w:val="none" w:sz="0" w:space="0" w:color="auto"/>
        <w:bottom w:val="none" w:sz="0" w:space="0" w:color="auto"/>
        <w:right w:val="none" w:sz="0" w:space="0" w:color="auto"/>
      </w:divBdr>
    </w:div>
    <w:div w:id="1289239894">
      <w:bodyDiv w:val="1"/>
      <w:marLeft w:val="0"/>
      <w:marRight w:val="0"/>
      <w:marTop w:val="0"/>
      <w:marBottom w:val="0"/>
      <w:divBdr>
        <w:top w:val="none" w:sz="0" w:space="0" w:color="auto"/>
        <w:left w:val="none" w:sz="0" w:space="0" w:color="auto"/>
        <w:bottom w:val="none" w:sz="0" w:space="0" w:color="auto"/>
        <w:right w:val="none" w:sz="0" w:space="0" w:color="auto"/>
      </w:divBdr>
    </w:div>
    <w:div w:id="1869373628">
      <w:bodyDiv w:val="1"/>
      <w:marLeft w:val="0"/>
      <w:marRight w:val="0"/>
      <w:marTop w:val="0"/>
      <w:marBottom w:val="0"/>
      <w:divBdr>
        <w:top w:val="none" w:sz="0" w:space="0" w:color="auto"/>
        <w:left w:val="none" w:sz="0" w:space="0" w:color="auto"/>
        <w:bottom w:val="none" w:sz="0" w:space="0" w:color="auto"/>
        <w:right w:val="none" w:sz="0" w:space="0" w:color="auto"/>
      </w:divBdr>
    </w:div>
    <w:div w:id="207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niversitiesaustralia.edu.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94B0-F094-45F5-A06F-C6EB7BC5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C</dc:creator>
  <cp:keywords/>
  <dc:description/>
  <cp:lastModifiedBy>editor</cp:lastModifiedBy>
  <cp:revision>7</cp:revision>
  <cp:lastPrinted>2017-09-06T19:38:00Z</cp:lastPrinted>
  <dcterms:created xsi:type="dcterms:W3CDTF">2017-09-06T19:38:00Z</dcterms:created>
  <dcterms:modified xsi:type="dcterms:W3CDTF">2017-09-07T08:09:00Z</dcterms:modified>
</cp:coreProperties>
</file>