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2509" w14:textId="77777777" w:rsidR="00A42354" w:rsidRPr="008B2A40" w:rsidRDefault="00A42354" w:rsidP="00A42354">
      <w:pPr>
        <w:pStyle w:val="Heading2"/>
        <w:spacing w:before="0"/>
        <w:rPr>
          <w:rFonts w:asciiTheme="minorHAnsi" w:hAnsiTheme="minorHAnsi"/>
          <w:b/>
          <w:color w:val="7B7B7B" w:themeColor="accent3" w:themeShade="BF"/>
          <w:sz w:val="22"/>
        </w:rPr>
      </w:pPr>
      <w:r w:rsidRPr="008B2A40">
        <w:rPr>
          <w:rFonts w:asciiTheme="minorHAnsi" w:hAnsiTheme="minorHAnsi"/>
          <w:b/>
          <w:color w:val="7B7B7B" w:themeColor="accent3" w:themeShade="BF"/>
          <w:sz w:val="28"/>
        </w:rPr>
        <w:t xml:space="preserve">Exploring the experience of postgraduate students in their transition from a Health Science to an Educational scholarship </w:t>
      </w:r>
      <w:r w:rsidRPr="008B2A40">
        <w:rPr>
          <w:rFonts w:asciiTheme="minorHAnsi" w:hAnsiTheme="minorHAnsi"/>
          <w:b/>
          <w:color w:val="7B7B7B" w:themeColor="accent3" w:themeShade="BF"/>
          <w:sz w:val="28"/>
          <w:szCs w:val="24"/>
        </w:rPr>
        <w:t>in an African university setting</w:t>
      </w:r>
    </w:p>
    <w:p w14:paraId="1859AC0E" w14:textId="483F166D" w:rsidR="00A42354" w:rsidRPr="008B2A40" w:rsidRDefault="004C560B" w:rsidP="00A42354">
      <w:pPr>
        <w:spacing w:after="0" w:line="240" w:lineRule="auto"/>
        <w:jc w:val="both"/>
        <w:rPr>
          <w:rFonts w:cs="Times New Roman"/>
          <w:b/>
          <w:color w:val="404040" w:themeColor="text1" w:themeTint="BF"/>
        </w:rPr>
      </w:pPr>
      <w:r w:rsidRPr="008F4466">
        <w:rPr>
          <w:noProof/>
          <w:color w:val="525252" w:themeColor="accent3" w:themeShade="80"/>
          <w:lang w:eastAsia="en-GB"/>
        </w:rPr>
        <mc:AlternateContent>
          <mc:Choice Requires="wps">
            <w:drawing>
              <wp:anchor distT="45720" distB="45720" distL="114300" distR="114300" simplePos="0" relativeHeight="251661312" behindDoc="0" locked="0" layoutInCell="1" allowOverlap="1" wp14:anchorId="221E1A70" wp14:editId="7E2AADDE">
                <wp:simplePos x="0" y="0"/>
                <wp:positionH relativeFrom="column">
                  <wp:posOffset>0</wp:posOffset>
                </wp:positionH>
                <wp:positionV relativeFrom="page">
                  <wp:posOffset>5372100</wp:posOffset>
                </wp:positionV>
                <wp:extent cx="5719445" cy="2457450"/>
                <wp:effectExtent l="0" t="0" r="1460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57450"/>
                        </a:xfrm>
                        <a:prstGeom prst="rect">
                          <a:avLst/>
                        </a:prstGeom>
                        <a:solidFill>
                          <a:schemeClr val="bg1"/>
                        </a:solidFill>
                        <a:ln w="9525">
                          <a:solidFill>
                            <a:schemeClr val="accent4">
                              <a:lumMod val="75000"/>
                            </a:schemeClr>
                          </a:solidFill>
                          <a:miter lim="800000"/>
                          <a:headEnd/>
                          <a:tailEnd/>
                        </a:ln>
                      </wps:spPr>
                      <wps:txbx>
                        <w:txbxContent>
                          <w:p w14:paraId="0399E23C" w14:textId="77777777" w:rsidR="00BA56CF" w:rsidRDefault="00BA56CF" w:rsidP="00293B11">
                            <w:pPr>
                              <w:widowControl w:val="0"/>
                              <w:autoSpaceDE w:val="0"/>
                              <w:autoSpaceDN w:val="0"/>
                              <w:adjustRightInd w:val="0"/>
                              <w:spacing w:after="0" w:line="240" w:lineRule="auto"/>
                              <w:ind w:right="567"/>
                              <w:jc w:val="both"/>
                              <w:rPr>
                                <w:b/>
                                <w:color w:val="525252" w:themeColor="accent3" w:themeShade="80"/>
                              </w:rPr>
                            </w:pPr>
                          </w:p>
                          <w:p w14:paraId="52F09672" w14:textId="77777777" w:rsidR="00BA56CF" w:rsidRPr="00C9098B" w:rsidRDefault="00BA56CF" w:rsidP="00F71C95">
                            <w:pPr>
                              <w:widowControl w:val="0"/>
                              <w:autoSpaceDE w:val="0"/>
                              <w:autoSpaceDN w:val="0"/>
                              <w:adjustRightInd w:val="0"/>
                              <w:spacing w:line="240" w:lineRule="auto"/>
                              <w:ind w:left="567" w:right="567"/>
                              <w:jc w:val="both"/>
                              <w:rPr>
                                <w:rFonts w:cs="Times New Roman"/>
                                <w:color w:val="7B7B7B" w:themeColor="accent3" w:themeShade="BF"/>
                                <w:sz w:val="24"/>
                              </w:rPr>
                            </w:pPr>
                            <w:r w:rsidRPr="00C9098B">
                              <w:rPr>
                                <w:rFonts w:cs="Times New Roman"/>
                                <w:b/>
                                <w:color w:val="7B7B7B" w:themeColor="accent3" w:themeShade="BF"/>
                                <w:sz w:val="24"/>
                              </w:rPr>
                              <w:t>ABSTRACT</w:t>
                            </w:r>
                            <w:r w:rsidRPr="00C9098B">
                              <w:rPr>
                                <w:rFonts w:cs="Times New Roman"/>
                                <w:color w:val="7B7B7B" w:themeColor="accent3" w:themeShade="BF"/>
                                <w:sz w:val="24"/>
                              </w:rPr>
                              <w:t xml:space="preserve"> </w:t>
                            </w:r>
                          </w:p>
                          <w:p w14:paraId="72C87B90" w14:textId="6C30BB48" w:rsidR="00BA56CF" w:rsidRPr="00C9098B" w:rsidRDefault="00BA56CF" w:rsidP="0035658E">
                            <w:pPr>
                              <w:spacing w:after="0" w:line="276" w:lineRule="auto"/>
                              <w:ind w:left="567" w:right="567"/>
                              <w:jc w:val="both"/>
                              <w:rPr>
                                <w:rFonts w:cs="Times New Roman"/>
                                <w:lang w:val="en-US"/>
                              </w:rPr>
                            </w:pPr>
                            <w:r w:rsidRPr="00C9098B">
                              <w:rPr>
                                <w:rFonts w:cs="Times New Roman"/>
                              </w:rPr>
                              <w:t xml:space="preserve">Calls have emerged to improve the medical education process through scholarly teaching and education research. Little is known about the development as health professions educators of students enrolled in postgraduate Master’s-level programmes in an African context. </w:t>
                            </w:r>
                            <w:r w:rsidRPr="00C9098B">
                              <w:rPr>
                                <w:rFonts w:cs="Times New Roman"/>
                                <w:lang w:val="en-US"/>
                              </w:rPr>
                              <w:t xml:space="preserve">This study explored the first-year experiences of students enrolled in the </w:t>
                            </w:r>
                            <w:r w:rsidRPr="00C9098B">
                              <w:rPr>
                                <w:rFonts w:cs="Times New Roman"/>
                              </w:rPr>
                              <w:t xml:space="preserve">MPhil in Health Professions Education (HPE) at the University of Stellenbosch. </w:t>
                            </w:r>
                            <w:r w:rsidRPr="00C9098B">
                              <w:rPr>
                                <w:rFonts w:cs="Times New Roman"/>
                                <w:lang w:val="en-US"/>
                              </w:rPr>
                              <w:t>The study confirms that Scholarship for Teaching and Learning (SOTL) for postgraduate students entering the health profession education paradigm from a health science background is challenging and provides pointers to advance SOTL in the South.</w:t>
                            </w:r>
                          </w:p>
                          <w:p w14:paraId="7CE35319" w14:textId="77777777" w:rsidR="00BA56CF" w:rsidRPr="00B03103" w:rsidRDefault="00BA56CF" w:rsidP="00541566">
                            <w:pPr>
                              <w:ind w:right="567"/>
                              <w:jc w:val="both"/>
                              <w:rPr>
                                <w:b/>
                                <w:color w:val="525252" w:themeColor="accent3"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E1A70" id="_x0000_t202" coordsize="21600,21600" o:spt="202" path="m,l,21600r21600,l21600,xe">
                <v:stroke joinstyle="miter"/>
                <v:path gradientshapeok="t" o:connecttype="rect"/>
              </v:shapetype>
              <v:shape id="Text Box 2" o:spid="_x0000_s1026" type="#_x0000_t202" style="position:absolute;left:0;text-align:left;margin-left:0;margin-top:423pt;width:450.35pt;height:1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" fillcolor="white [3212]" strokecolor="#bf8f00 [2407]">
                <v:textbox>
                  <w:txbxContent>
                    <w:p w14:paraId="0399E23C" w14:textId="77777777" w:rsidR="00BA56CF" w:rsidRDefault="00BA56CF" w:rsidP="00293B11">
                      <w:pPr>
                        <w:widowControl w:val="0"/>
                        <w:autoSpaceDE w:val="0"/>
                        <w:autoSpaceDN w:val="0"/>
                        <w:adjustRightInd w:val="0"/>
                        <w:spacing w:after="0" w:line="240" w:lineRule="auto"/>
                        <w:ind w:right="567"/>
                        <w:jc w:val="both"/>
                        <w:rPr>
                          <w:b/>
                          <w:color w:val="525252" w:themeColor="accent3" w:themeShade="80"/>
                        </w:rPr>
                      </w:pPr>
                    </w:p>
                    <w:p w14:paraId="52F09672" w14:textId="77777777" w:rsidR="00BA56CF" w:rsidRPr="00C9098B" w:rsidRDefault="00BA56CF" w:rsidP="00F71C95">
                      <w:pPr>
                        <w:widowControl w:val="0"/>
                        <w:autoSpaceDE w:val="0"/>
                        <w:autoSpaceDN w:val="0"/>
                        <w:adjustRightInd w:val="0"/>
                        <w:spacing w:line="240" w:lineRule="auto"/>
                        <w:ind w:left="567" w:right="567"/>
                        <w:jc w:val="both"/>
                        <w:rPr>
                          <w:rFonts w:cs="Times New Roman"/>
                          <w:color w:val="7B7B7B" w:themeColor="accent3" w:themeShade="BF"/>
                          <w:sz w:val="24"/>
                        </w:rPr>
                      </w:pPr>
                      <w:r w:rsidRPr="00C9098B">
                        <w:rPr>
                          <w:rFonts w:cs="Times New Roman"/>
                          <w:b/>
                          <w:color w:val="7B7B7B" w:themeColor="accent3" w:themeShade="BF"/>
                          <w:sz w:val="24"/>
                        </w:rPr>
                        <w:t>ABSTRACT</w:t>
                      </w:r>
                      <w:r w:rsidRPr="00C9098B">
                        <w:rPr>
                          <w:rFonts w:cs="Times New Roman"/>
                          <w:color w:val="7B7B7B" w:themeColor="accent3" w:themeShade="BF"/>
                          <w:sz w:val="24"/>
                        </w:rPr>
                        <w:t xml:space="preserve"> </w:t>
                      </w:r>
                    </w:p>
                    <w:p w14:paraId="72C87B90" w14:textId="6C30BB48" w:rsidR="00BA56CF" w:rsidRPr="00C9098B" w:rsidRDefault="00BA56CF" w:rsidP="0035658E">
                      <w:pPr>
                        <w:spacing w:after="0" w:line="276" w:lineRule="auto"/>
                        <w:ind w:left="567" w:right="567"/>
                        <w:jc w:val="both"/>
                        <w:rPr>
                          <w:rFonts w:cs="Times New Roman"/>
                          <w:lang w:val="en-US"/>
                        </w:rPr>
                      </w:pPr>
                      <w:r w:rsidRPr="00C9098B">
                        <w:rPr>
                          <w:rFonts w:cs="Times New Roman"/>
                        </w:rPr>
                        <w:t xml:space="preserve">Calls have emerged to improve the medical education process through scholarly teaching and education research. Little is known about the development as health professions educators of students enrolled in postgraduate Master’s-level programmes in an African context. </w:t>
                      </w:r>
                      <w:r w:rsidRPr="00C9098B">
                        <w:rPr>
                          <w:rFonts w:cs="Times New Roman"/>
                          <w:lang w:val="en-US"/>
                        </w:rPr>
                        <w:t xml:space="preserve">This study explored the first-year experiences of students enrolled in the </w:t>
                      </w:r>
                      <w:r w:rsidRPr="00C9098B">
                        <w:rPr>
                          <w:rFonts w:cs="Times New Roman"/>
                        </w:rPr>
                        <w:t xml:space="preserve">MPhil in Health Professions Education (HPE) at the University of Stellenbosch. </w:t>
                      </w:r>
                      <w:r w:rsidRPr="00C9098B">
                        <w:rPr>
                          <w:rFonts w:cs="Times New Roman"/>
                          <w:lang w:val="en-US"/>
                        </w:rPr>
                        <w:t>The study confirms that Scholarship for Teaching and Learning (SOTL) for postgraduate students entering the health profession education paradigm from a health science background is challenging and provides pointers to advance SOTL in the South.</w:t>
                      </w:r>
                    </w:p>
                    <w:p w14:paraId="7CE35319" w14:textId="77777777" w:rsidR="00BA56CF" w:rsidRPr="00B03103" w:rsidRDefault="00BA56CF" w:rsidP="00541566">
                      <w:pPr>
                        <w:ind w:right="567"/>
                        <w:jc w:val="both"/>
                        <w:rPr>
                          <w:b/>
                          <w:color w:val="525252" w:themeColor="accent3" w:themeShade="80"/>
                        </w:rPr>
                      </w:pPr>
                    </w:p>
                  </w:txbxContent>
                </v:textbox>
                <w10:wrap type="square" anchory="page"/>
              </v:shape>
            </w:pict>
          </mc:Fallback>
        </mc:AlternateContent>
      </w:r>
    </w:p>
    <w:p w14:paraId="7CF2F9BD" w14:textId="77777777" w:rsidR="002D2135" w:rsidRDefault="002D2135" w:rsidP="007904CC">
      <w:pPr>
        <w:pStyle w:val="Heading2"/>
        <w:spacing w:before="0" w:line="276" w:lineRule="auto"/>
        <w:jc w:val="both"/>
        <w:rPr>
          <w:rFonts w:asciiTheme="minorHAnsi" w:hAnsiTheme="minorHAnsi"/>
          <w:b/>
          <w:color w:val="525252" w:themeColor="accent3" w:themeShade="80"/>
          <w:sz w:val="22"/>
          <w:szCs w:val="22"/>
        </w:rPr>
        <w:sectPr w:rsidR="002D2135" w:rsidSect="00F340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pgNumType w:start="78"/>
          <w:cols w:space="708"/>
          <w:titlePg/>
          <w:docGrid w:linePitch="360"/>
        </w:sectPr>
      </w:pPr>
      <w:bookmarkStart w:id="0" w:name="_Toc4876390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394"/>
        <w:gridCol w:w="2784"/>
      </w:tblGrid>
      <w:tr w:rsidR="00EA5710" w:rsidRPr="00EA5710" w14:paraId="29307440" w14:textId="120D5533" w:rsidTr="00EA5710">
        <w:tc>
          <w:tcPr>
            <w:tcW w:w="1838" w:type="dxa"/>
          </w:tcPr>
          <w:bookmarkEnd w:id="0"/>
          <w:p w14:paraId="01C622C4" w14:textId="77777777" w:rsidR="00EA5710" w:rsidRPr="00EA5710" w:rsidRDefault="00EA5710" w:rsidP="00BF1BAB">
            <w:pPr>
              <w:pStyle w:val="NoSpacing"/>
              <w:rPr>
                <w:b/>
                <w:color w:val="525252" w:themeColor="accent3" w:themeShade="80"/>
                <w:sz w:val="24"/>
              </w:rPr>
            </w:pPr>
            <w:proofErr w:type="spellStart"/>
            <w:r w:rsidRPr="00EA5710">
              <w:rPr>
                <w:b/>
                <w:color w:val="525252" w:themeColor="accent3" w:themeShade="80"/>
                <w:sz w:val="24"/>
              </w:rPr>
              <w:t>Liezl</w:t>
            </w:r>
            <w:proofErr w:type="spellEnd"/>
            <w:r w:rsidRPr="00EA5710">
              <w:rPr>
                <w:b/>
                <w:color w:val="525252" w:themeColor="accent3" w:themeShade="80"/>
                <w:sz w:val="24"/>
              </w:rPr>
              <w:t xml:space="preserve"> Smit</w:t>
            </w:r>
          </w:p>
        </w:tc>
        <w:tc>
          <w:tcPr>
            <w:tcW w:w="4394" w:type="dxa"/>
          </w:tcPr>
          <w:p w14:paraId="44C7F1CF" w14:textId="77777777" w:rsidR="00EA5710" w:rsidRPr="00EA5710" w:rsidRDefault="00EA5710" w:rsidP="00BF1BAB">
            <w:pPr>
              <w:pStyle w:val="NoSpacing"/>
              <w:rPr>
                <w:color w:val="525252" w:themeColor="accent3" w:themeShade="80"/>
              </w:rPr>
            </w:pPr>
            <w:r w:rsidRPr="00EA5710">
              <w:rPr>
                <w:color w:val="525252" w:themeColor="accent3" w:themeShade="80"/>
              </w:rPr>
              <w:t>Department of Paediatrics and Child Health, Faculty of Medicine &amp; Health Sciences, University of Stellenbosch</w:t>
            </w:r>
          </w:p>
          <w:p w14:paraId="726A0EE5" w14:textId="3F054B58" w:rsidR="00EA5710" w:rsidRPr="00EA5710" w:rsidRDefault="00EA5710" w:rsidP="00BF1BAB">
            <w:pPr>
              <w:pStyle w:val="NoSpacing"/>
              <w:rPr>
                <w:color w:val="525252" w:themeColor="accent3" w:themeShade="80"/>
              </w:rPr>
            </w:pPr>
          </w:p>
        </w:tc>
        <w:tc>
          <w:tcPr>
            <w:tcW w:w="2784" w:type="dxa"/>
          </w:tcPr>
          <w:p w14:paraId="248A4897" w14:textId="77CFFB90" w:rsidR="00EA5710" w:rsidRPr="00EA5710" w:rsidRDefault="00EA5710" w:rsidP="00BF1BAB">
            <w:pPr>
              <w:pStyle w:val="NoSpacing"/>
              <w:rPr>
                <w:color w:val="525252" w:themeColor="accent3" w:themeShade="80"/>
              </w:rPr>
            </w:pPr>
            <w:r w:rsidRPr="00EA5710">
              <w:rPr>
                <w:color w:val="525252" w:themeColor="accent3" w:themeShade="80"/>
              </w:rPr>
              <w:t>ls@sun.ac.za</w:t>
            </w:r>
          </w:p>
        </w:tc>
      </w:tr>
      <w:tr w:rsidR="00EA5710" w:rsidRPr="00EA5710" w14:paraId="2A531B1F" w14:textId="05F3D379" w:rsidTr="00EA5710">
        <w:tc>
          <w:tcPr>
            <w:tcW w:w="1838" w:type="dxa"/>
          </w:tcPr>
          <w:p w14:paraId="2020EDE5" w14:textId="08B46169" w:rsidR="00EA5710" w:rsidRPr="00EA5710" w:rsidRDefault="00EA5710" w:rsidP="00BF1BAB">
            <w:pPr>
              <w:pStyle w:val="NoSpacing"/>
              <w:rPr>
                <w:b/>
                <w:color w:val="525252" w:themeColor="accent3" w:themeShade="80"/>
                <w:sz w:val="24"/>
              </w:rPr>
            </w:pPr>
            <w:bookmarkStart w:id="1" w:name="_Toc487639010"/>
            <w:r w:rsidRPr="00EA5710">
              <w:rPr>
                <w:b/>
                <w:color w:val="525252" w:themeColor="accent3" w:themeShade="80"/>
                <w:sz w:val="24"/>
              </w:rPr>
              <w:t>Rhoda Meyer</w:t>
            </w:r>
            <w:bookmarkEnd w:id="1"/>
            <w:r w:rsidRPr="00EA5710">
              <w:rPr>
                <w:b/>
                <w:color w:val="525252" w:themeColor="accent3" w:themeShade="80"/>
                <w:sz w:val="24"/>
              </w:rPr>
              <w:t xml:space="preserve"> </w:t>
            </w:r>
          </w:p>
        </w:tc>
        <w:tc>
          <w:tcPr>
            <w:tcW w:w="4394" w:type="dxa"/>
          </w:tcPr>
          <w:p w14:paraId="45947BC6" w14:textId="77777777" w:rsidR="00EA5710" w:rsidRPr="00EA5710" w:rsidRDefault="00EA5710" w:rsidP="00BF1BAB">
            <w:pPr>
              <w:pStyle w:val="NoSpacing"/>
              <w:rPr>
                <w:color w:val="525252" w:themeColor="accent3" w:themeShade="80"/>
              </w:rPr>
            </w:pPr>
            <w:proofErr w:type="spellStart"/>
            <w:r w:rsidRPr="00EA5710">
              <w:rPr>
                <w:color w:val="525252" w:themeColor="accent3" w:themeShade="80"/>
              </w:rPr>
              <w:t>Mediclinic</w:t>
            </w:r>
            <w:proofErr w:type="spellEnd"/>
            <w:r w:rsidRPr="00EA5710">
              <w:rPr>
                <w:color w:val="525252" w:themeColor="accent3" w:themeShade="80"/>
              </w:rPr>
              <w:t xml:space="preserve"> (Pty) Ltd Private Higher Education Institution, Cape Region</w:t>
            </w:r>
          </w:p>
          <w:p w14:paraId="442A264D" w14:textId="295BFAD1" w:rsidR="00EA5710" w:rsidRPr="00EA5710" w:rsidRDefault="00EA5710" w:rsidP="00BF1BAB">
            <w:pPr>
              <w:pStyle w:val="NoSpacing"/>
              <w:rPr>
                <w:color w:val="525252" w:themeColor="accent3" w:themeShade="80"/>
              </w:rPr>
            </w:pPr>
          </w:p>
        </w:tc>
        <w:tc>
          <w:tcPr>
            <w:tcW w:w="2784" w:type="dxa"/>
          </w:tcPr>
          <w:p w14:paraId="76048978" w14:textId="4603B4C5" w:rsidR="00EA5710" w:rsidRPr="00EA5710" w:rsidRDefault="00EA5710" w:rsidP="00BF1BAB">
            <w:pPr>
              <w:pStyle w:val="NoSpacing"/>
              <w:rPr>
                <w:color w:val="525252" w:themeColor="accent3" w:themeShade="80"/>
              </w:rPr>
            </w:pPr>
            <w:r w:rsidRPr="00EA5710">
              <w:rPr>
                <w:color w:val="525252" w:themeColor="accent3" w:themeShade="80"/>
              </w:rPr>
              <w:t>rhodameyer1@hotmail.com</w:t>
            </w:r>
          </w:p>
        </w:tc>
      </w:tr>
      <w:tr w:rsidR="00EA5710" w:rsidRPr="00EA5710" w14:paraId="2B2158B2" w14:textId="62D8257C" w:rsidTr="00EA5710">
        <w:tc>
          <w:tcPr>
            <w:tcW w:w="1838" w:type="dxa"/>
          </w:tcPr>
          <w:p w14:paraId="0DBD1D7F" w14:textId="0D4C45C5" w:rsidR="00EA5710" w:rsidRPr="00EA5710" w:rsidRDefault="00EA5710" w:rsidP="00BF1BAB">
            <w:pPr>
              <w:pStyle w:val="NoSpacing"/>
              <w:rPr>
                <w:b/>
                <w:color w:val="525252" w:themeColor="accent3" w:themeShade="80"/>
                <w:sz w:val="24"/>
              </w:rPr>
            </w:pPr>
            <w:bookmarkStart w:id="2" w:name="_Toc487639011"/>
            <w:r w:rsidRPr="00EA5710">
              <w:rPr>
                <w:b/>
                <w:color w:val="525252" w:themeColor="accent3" w:themeShade="80"/>
                <w:sz w:val="24"/>
              </w:rPr>
              <w:t xml:space="preserve">Ilse </w:t>
            </w:r>
            <w:proofErr w:type="spellStart"/>
            <w:r w:rsidRPr="00EA5710">
              <w:rPr>
                <w:b/>
                <w:color w:val="525252" w:themeColor="accent3" w:themeShade="80"/>
                <w:sz w:val="24"/>
              </w:rPr>
              <w:t>Crafford</w:t>
            </w:r>
            <w:bookmarkEnd w:id="2"/>
            <w:proofErr w:type="spellEnd"/>
            <w:r w:rsidRPr="00EA5710">
              <w:rPr>
                <w:b/>
                <w:color w:val="525252" w:themeColor="accent3" w:themeShade="80"/>
                <w:sz w:val="24"/>
              </w:rPr>
              <w:t xml:space="preserve"> </w:t>
            </w:r>
          </w:p>
        </w:tc>
        <w:tc>
          <w:tcPr>
            <w:tcW w:w="4394" w:type="dxa"/>
          </w:tcPr>
          <w:p w14:paraId="6C5D3225" w14:textId="77777777" w:rsidR="00EA5710" w:rsidRPr="00EA5710" w:rsidRDefault="00EA5710" w:rsidP="00BF1BAB">
            <w:pPr>
              <w:pStyle w:val="NoSpacing"/>
              <w:rPr>
                <w:color w:val="525252" w:themeColor="accent3" w:themeShade="80"/>
              </w:rPr>
            </w:pPr>
            <w:proofErr w:type="spellStart"/>
            <w:r w:rsidRPr="00EA5710">
              <w:rPr>
                <w:color w:val="525252" w:themeColor="accent3" w:themeShade="80"/>
              </w:rPr>
              <w:t>Netcare</w:t>
            </w:r>
            <w:proofErr w:type="spellEnd"/>
            <w:r w:rsidRPr="00EA5710">
              <w:rPr>
                <w:color w:val="525252" w:themeColor="accent3" w:themeShade="80"/>
              </w:rPr>
              <w:t xml:space="preserve"> Education, Western Cape, </w:t>
            </w:r>
            <w:proofErr w:type="spellStart"/>
            <w:r w:rsidRPr="00EA5710">
              <w:rPr>
                <w:color w:val="525252" w:themeColor="accent3" w:themeShade="80"/>
              </w:rPr>
              <w:t>Netcare</w:t>
            </w:r>
            <w:proofErr w:type="spellEnd"/>
            <w:r w:rsidRPr="00EA5710">
              <w:rPr>
                <w:color w:val="525252" w:themeColor="accent3" w:themeShade="80"/>
              </w:rPr>
              <w:t xml:space="preserve"> Hospital Management (Pty) Ltd - provisionally registered as a Higher Education Institution</w:t>
            </w:r>
          </w:p>
          <w:p w14:paraId="582C3E0C" w14:textId="4486D487" w:rsidR="00EA5710" w:rsidRPr="00EA5710" w:rsidRDefault="00EA5710" w:rsidP="00BF1BAB">
            <w:pPr>
              <w:pStyle w:val="NoSpacing"/>
              <w:rPr>
                <w:color w:val="525252" w:themeColor="accent3" w:themeShade="80"/>
              </w:rPr>
            </w:pPr>
          </w:p>
        </w:tc>
        <w:tc>
          <w:tcPr>
            <w:tcW w:w="2784" w:type="dxa"/>
          </w:tcPr>
          <w:p w14:paraId="1922F9F7" w14:textId="63EB9DB4" w:rsidR="00EA5710" w:rsidRPr="00EA5710" w:rsidRDefault="00EA5710" w:rsidP="00BF1BAB">
            <w:pPr>
              <w:pStyle w:val="NoSpacing"/>
              <w:rPr>
                <w:color w:val="525252" w:themeColor="accent3" w:themeShade="80"/>
              </w:rPr>
            </w:pPr>
            <w:r w:rsidRPr="00EA5710">
              <w:rPr>
                <w:color w:val="525252" w:themeColor="accent3" w:themeShade="80"/>
              </w:rPr>
              <w:t>Ilse.Crafford@netcare.co.za</w:t>
            </w:r>
          </w:p>
        </w:tc>
      </w:tr>
      <w:tr w:rsidR="00EA5710" w:rsidRPr="00EA5710" w14:paraId="051C74FA" w14:textId="67A34B7D" w:rsidTr="00EA5710">
        <w:tc>
          <w:tcPr>
            <w:tcW w:w="1838" w:type="dxa"/>
          </w:tcPr>
          <w:p w14:paraId="044FD148" w14:textId="1441E64C" w:rsidR="00EA5710" w:rsidRPr="00EA5710" w:rsidRDefault="00EA5710" w:rsidP="00BF1BAB">
            <w:pPr>
              <w:pStyle w:val="NoSpacing"/>
              <w:rPr>
                <w:b/>
                <w:color w:val="525252" w:themeColor="accent3" w:themeShade="80"/>
                <w:sz w:val="24"/>
              </w:rPr>
            </w:pPr>
            <w:bookmarkStart w:id="3" w:name="_Toc487639012"/>
            <w:r w:rsidRPr="00EA5710">
              <w:rPr>
                <w:b/>
                <w:color w:val="525252" w:themeColor="accent3" w:themeShade="80"/>
                <w:sz w:val="24"/>
              </w:rPr>
              <w:t>Dianne Parris</w:t>
            </w:r>
            <w:bookmarkEnd w:id="3"/>
            <w:r w:rsidRPr="00EA5710">
              <w:rPr>
                <w:b/>
                <w:color w:val="525252" w:themeColor="accent3" w:themeShade="80"/>
                <w:sz w:val="24"/>
              </w:rPr>
              <w:t xml:space="preserve"> </w:t>
            </w:r>
          </w:p>
        </w:tc>
        <w:tc>
          <w:tcPr>
            <w:tcW w:w="4394" w:type="dxa"/>
          </w:tcPr>
          <w:p w14:paraId="2F86D401" w14:textId="597D817F" w:rsidR="00EA5710" w:rsidRPr="00EA5710" w:rsidRDefault="00EA5710" w:rsidP="00BF1BAB">
            <w:pPr>
              <w:pStyle w:val="NoSpacing"/>
              <w:rPr>
                <w:color w:val="525252" w:themeColor="accent3" w:themeShade="80"/>
              </w:rPr>
            </w:pPr>
            <w:r w:rsidRPr="00EA5710">
              <w:rPr>
                <w:color w:val="525252" w:themeColor="accent3" w:themeShade="80"/>
              </w:rPr>
              <w:t>Division of Physiotherapy, Faculty of Medicine &amp; Health Sciences, University of Stellenbosch</w:t>
            </w:r>
          </w:p>
        </w:tc>
        <w:tc>
          <w:tcPr>
            <w:tcW w:w="2784" w:type="dxa"/>
          </w:tcPr>
          <w:p w14:paraId="7E93DB5D" w14:textId="087A7A4C" w:rsidR="00EA5710" w:rsidRPr="00EA5710" w:rsidRDefault="00EA5710" w:rsidP="00BF1BAB">
            <w:pPr>
              <w:pStyle w:val="NoSpacing"/>
              <w:rPr>
                <w:color w:val="525252" w:themeColor="accent3" w:themeShade="80"/>
              </w:rPr>
            </w:pPr>
            <w:r w:rsidRPr="00EA5710">
              <w:rPr>
                <w:color w:val="525252" w:themeColor="accent3" w:themeShade="80"/>
              </w:rPr>
              <w:t>dparris@sun.ac.za</w:t>
            </w:r>
          </w:p>
        </w:tc>
      </w:tr>
    </w:tbl>
    <w:p w14:paraId="7EE2E2FB" w14:textId="517D1FF0" w:rsidR="002318C6" w:rsidRDefault="002318C6" w:rsidP="00AA7BCC">
      <w:pPr>
        <w:tabs>
          <w:tab w:val="left" w:pos="1050"/>
        </w:tabs>
        <w:spacing w:after="0" w:line="240" w:lineRule="auto"/>
        <w:rPr>
          <w:color w:val="525252" w:themeColor="accent3" w:themeShade="80"/>
        </w:rPr>
        <w:sectPr w:rsidR="002318C6" w:rsidSect="002D2135">
          <w:type w:val="continuous"/>
          <w:pgSz w:w="11906" w:h="16838"/>
          <w:pgMar w:top="1440" w:right="1440" w:bottom="1440" w:left="1440" w:header="567" w:footer="567" w:gutter="0"/>
          <w:pgNumType w:start="78"/>
          <w:cols w:space="708"/>
          <w:titlePg/>
          <w:docGrid w:linePitch="360"/>
        </w:sectPr>
      </w:pPr>
    </w:p>
    <w:p w14:paraId="02DBA11E" w14:textId="584463CA" w:rsidR="00A42354" w:rsidRPr="009943E9" w:rsidRDefault="00C9098B" w:rsidP="004C560B">
      <w:pPr>
        <w:spacing w:before="240" w:line="276" w:lineRule="auto"/>
        <w:jc w:val="both"/>
        <w:rPr>
          <w:rFonts w:cs="Times New Roman"/>
          <w:b/>
          <w:color w:val="7B7B7B" w:themeColor="accent3" w:themeShade="BF"/>
          <w:sz w:val="28"/>
          <w:szCs w:val="24"/>
        </w:rPr>
      </w:pPr>
      <w:r w:rsidRPr="009943E9">
        <w:rPr>
          <w:rFonts w:cs="Times New Roman"/>
          <w:b/>
          <w:color w:val="7B7B7B" w:themeColor="accent3" w:themeShade="BF"/>
          <w:sz w:val="28"/>
          <w:szCs w:val="24"/>
        </w:rPr>
        <w:t>Introduction</w:t>
      </w:r>
    </w:p>
    <w:p w14:paraId="3EC0A183" w14:textId="5F25D45C" w:rsidR="00A42354" w:rsidRPr="008D2DDA" w:rsidRDefault="00A42354" w:rsidP="00875EC3">
      <w:pPr>
        <w:pStyle w:val="CommentText"/>
        <w:spacing w:line="276" w:lineRule="auto"/>
        <w:jc w:val="both"/>
        <w:rPr>
          <w:rFonts w:cs="Times New Roman"/>
          <w:sz w:val="22"/>
          <w:lang w:val="en-GB"/>
        </w:rPr>
      </w:pPr>
      <w:r w:rsidRPr="008D2DDA">
        <w:rPr>
          <w:rFonts w:cs="Times New Roman"/>
          <w:sz w:val="22"/>
          <w:lang w:val="en-GB"/>
        </w:rPr>
        <w:t xml:space="preserve">Health professions educators have a key role to play in the educational and health system reforms needed to address the challenges of the </w:t>
      </w:r>
      <w:r w:rsidR="008D2DDA">
        <w:rPr>
          <w:rFonts w:cs="Times New Roman"/>
          <w:sz w:val="22"/>
          <w:lang w:val="en-GB"/>
        </w:rPr>
        <w:t>twenty-first</w:t>
      </w:r>
      <w:r w:rsidR="008D2DDA" w:rsidRPr="008D2DDA">
        <w:rPr>
          <w:rFonts w:cs="Times New Roman"/>
          <w:sz w:val="22"/>
          <w:lang w:val="en-GB"/>
        </w:rPr>
        <w:t xml:space="preserve"> </w:t>
      </w:r>
      <w:r w:rsidRPr="008D2DDA">
        <w:rPr>
          <w:rFonts w:cs="Times New Roman"/>
          <w:sz w:val="22"/>
          <w:lang w:val="en-GB"/>
        </w:rPr>
        <w:t>century (</w:t>
      </w:r>
      <w:proofErr w:type="spellStart"/>
      <w:r w:rsidRPr="008D2DDA">
        <w:rPr>
          <w:rFonts w:cs="Times New Roman"/>
          <w:sz w:val="22"/>
          <w:lang w:val="en-GB"/>
        </w:rPr>
        <w:t>Frenk</w:t>
      </w:r>
      <w:proofErr w:type="spellEnd"/>
      <w:r w:rsidRPr="008D2DDA">
        <w:rPr>
          <w:rFonts w:cs="Times New Roman"/>
          <w:sz w:val="22"/>
          <w:lang w:val="en-GB"/>
        </w:rPr>
        <w:t xml:space="preserve"> </w:t>
      </w:r>
      <w:r w:rsidRPr="008D2DDA">
        <w:rPr>
          <w:rFonts w:cs="Times New Roman"/>
          <w:i/>
          <w:sz w:val="22"/>
          <w:lang w:val="en-GB"/>
        </w:rPr>
        <w:t>et al.</w:t>
      </w:r>
      <w:r w:rsidRPr="008D2DDA">
        <w:rPr>
          <w:rFonts w:cs="Times New Roman"/>
          <w:sz w:val="22"/>
          <w:lang w:val="en-GB"/>
        </w:rPr>
        <w:t xml:space="preserve"> 2010). Calls from within the medical education community have emerged to improve the medical education process through scholarly teaching and education research (Whitcomb 2002).</w:t>
      </w:r>
    </w:p>
    <w:p w14:paraId="7F00FF79" w14:textId="77777777" w:rsidR="00A42354" w:rsidRPr="008D2DDA" w:rsidRDefault="00A42354" w:rsidP="00875EC3">
      <w:pPr>
        <w:pStyle w:val="CommentText"/>
        <w:spacing w:line="276" w:lineRule="auto"/>
        <w:jc w:val="both"/>
        <w:rPr>
          <w:rFonts w:cs="Times New Roman"/>
          <w:sz w:val="22"/>
          <w:lang w:val="en-GB"/>
        </w:rPr>
      </w:pPr>
    </w:p>
    <w:p w14:paraId="6455B07A" w14:textId="66406EEF" w:rsidR="00A42354" w:rsidRPr="008D2DDA" w:rsidRDefault="00A42354" w:rsidP="00875EC3">
      <w:pPr>
        <w:pStyle w:val="CommentText"/>
        <w:spacing w:line="276" w:lineRule="auto"/>
        <w:jc w:val="both"/>
        <w:rPr>
          <w:rFonts w:cs="Times New Roman"/>
          <w:sz w:val="22"/>
          <w:lang w:val="en-GB"/>
        </w:rPr>
      </w:pPr>
      <w:r w:rsidRPr="008D2DDA">
        <w:rPr>
          <w:rFonts w:cs="Times New Roman"/>
          <w:sz w:val="22"/>
          <w:lang w:val="en-GB"/>
        </w:rPr>
        <w:t>This has led to an increase in the number of Master-level degree programmes and fellowships dedicated to health professions education (</w:t>
      </w:r>
      <w:proofErr w:type="spellStart"/>
      <w:r w:rsidRPr="008D2DDA">
        <w:rPr>
          <w:rFonts w:cs="Times New Roman"/>
          <w:sz w:val="22"/>
          <w:lang w:val="en-GB"/>
        </w:rPr>
        <w:t>Tekian</w:t>
      </w:r>
      <w:proofErr w:type="spellEnd"/>
      <w:r w:rsidRPr="008D2DDA">
        <w:rPr>
          <w:rFonts w:cs="Times New Roman"/>
          <w:sz w:val="22"/>
          <w:lang w:val="en-GB"/>
        </w:rPr>
        <w:t xml:space="preserve"> </w:t>
      </w:r>
      <w:r w:rsidR="008469F8">
        <w:rPr>
          <w:rFonts w:cs="Times New Roman"/>
          <w:sz w:val="22"/>
          <w:lang w:val="en-GB"/>
        </w:rPr>
        <w:t>&amp;</w:t>
      </w:r>
      <w:r w:rsidR="008469F8" w:rsidRPr="008D2DDA">
        <w:rPr>
          <w:rFonts w:cs="Times New Roman"/>
          <w:sz w:val="22"/>
          <w:lang w:val="en-GB"/>
        </w:rPr>
        <w:t xml:space="preserve"> </w:t>
      </w:r>
      <w:proofErr w:type="spellStart"/>
      <w:r w:rsidRPr="008D2DDA">
        <w:rPr>
          <w:rFonts w:cs="Times New Roman"/>
          <w:sz w:val="22"/>
          <w:lang w:val="en-GB"/>
        </w:rPr>
        <w:t>Artino</w:t>
      </w:r>
      <w:proofErr w:type="spellEnd"/>
      <w:r w:rsidRPr="008D2DDA">
        <w:rPr>
          <w:rFonts w:cs="Times New Roman"/>
          <w:sz w:val="22"/>
          <w:lang w:val="en-GB"/>
        </w:rPr>
        <w:t xml:space="preserve"> 2013). These programmes have been </w:t>
      </w:r>
      <w:r w:rsidRPr="008D2DDA">
        <w:rPr>
          <w:rFonts w:cs="Times New Roman"/>
          <w:sz w:val="22"/>
          <w:lang w:val="en-GB"/>
        </w:rPr>
        <w:lastRenderedPageBreak/>
        <w:t>found to enhance theoretical foundations in educational practices, resulting in increased self-efficacy and engagement in various educational scholarship activities (</w:t>
      </w:r>
      <w:proofErr w:type="spellStart"/>
      <w:r w:rsidRPr="008D2DDA">
        <w:rPr>
          <w:rFonts w:cs="Times New Roman"/>
          <w:sz w:val="22"/>
          <w:lang w:val="en-GB"/>
        </w:rPr>
        <w:t>Sethi</w:t>
      </w:r>
      <w:proofErr w:type="spellEnd"/>
      <w:r w:rsidRPr="008D2DDA">
        <w:rPr>
          <w:rFonts w:cs="Times New Roman"/>
          <w:sz w:val="22"/>
          <w:lang w:val="en-GB"/>
        </w:rPr>
        <w:t xml:space="preserve"> </w:t>
      </w:r>
      <w:r w:rsidRPr="000B0981">
        <w:rPr>
          <w:rFonts w:cs="Times New Roman"/>
          <w:i/>
          <w:sz w:val="22"/>
          <w:lang w:val="en-GB"/>
        </w:rPr>
        <w:t>et al.</w:t>
      </w:r>
      <w:r w:rsidRPr="008D2DDA">
        <w:rPr>
          <w:rFonts w:cs="Times New Roman"/>
          <w:sz w:val="22"/>
          <w:lang w:val="en-GB"/>
        </w:rPr>
        <w:t xml:space="preserve"> 2016). </w:t>
      </w:r>
      <w:r w:rsidRPr="008D2DDA">
        <w:rPr>
          <w:sz w:val="22"/>
          <w:lang w:val="en-GB"/>
        </w:rPr>
        <w:t>The attainment of a postgraduate qualification has also been associated with developments in roles, leadership positions, and expanded responsibilities in medical education (</w:t>
      </w:r>
      <w:proofErr w:type="spellStart"/>
      <w:r w:rsidRPr="008D2DDA">
        <w:rPr>
          <w:sz w:val="22"/>
          <w:lang w:val="en-GB"/>
        </w:rPr>
        <w:t>Sethi</w:t>
      </w:r>
      <w:proofErr w:type="spellEnd"/>
      <w:r w:rsidRPr="008D2DDA">
        <w:rPr>
          <w:sz w:val="22"/>
          <w:lang w:val="en-GB"/>
        </w:rPr>
        <w:t xml:space="preserve"> </w:t>
      </w:r>
      <w:r w:rsidRPr="000B0981">
        <w:rPr>
          <w:i/>
          <w:sz w:val="22"/>
          <w:lang w:val="en-GB"/>
        </w:rPr>
        <w:t xml:space="preserve">et al. </w:t>
      </w:r>
      <w:r w:rsidRPr="008D2DDA">
        <w:rPr>
          <w:sz w:val="22"/>
          <w:lang w:val="en-GB"/>
        </w:rPr>
        <w:t>2017).</w:t>
      </w:r>
      <w:r w:rsidRPr="008D2DDA">
        <w:rPr>
          <w:b/>
          <w:sz w:val="22"/>
          <w:lang w:val="en-GB"/>
        </w:rPr>
        <w:t xml:space="preserve"> </w:t>
      </w:r>
      <w:r w:rsidRPr="008D2DDA">
        <w:rPr>
          <w:rFonts w:cs="Times New Roman"/>
          <w:sz w:val="22"/>
          <w:lang w:val="en-GB"/>
        </w:rPr>
        <w:t>Yet, only 3% (2) of the listed Master</w:t>
      </w:r>
      <w:r w:rsidR="00397528">
        <w:rPr>
          <w:rFonts w:cs="Times New Roman"/>
          <w:sz w:val="22"/>
          <w:lang w:val="en-GB"/>
        </w:rPr>
        <w:t>’s</w:t>
      </w:r>
      <w:r w:rsidRPr="008D2DDA">
        <w:rPr>
          <w:rFonts w:cs="Times New Roman"/>
          <w:sz w:val="22"/>
          <w:lang w:val="en-GB"/>
        </w:rPr>
        <w:t xml:space="preserve">-level degree programmes and fellowships dedicated to health professions education globally, </w:t>
      </w:r>
      <w:r w:rsidR="000B2E5C" w:rsidRPr="008D2DDA">
        <w:rPr>
          <w:rFonts w:cs="Times New Roman"/>
          <w:sz w:val="22"/>
          <w:lang w:val="en-GB"/>
        </w:rPr>
        <w:t>are</w:t>
      </w:r>
      <w:r w:rsidRPr="008D2DDA">
        <w:rPr>
          <w:rFonts w:cs="Times New Roman"/>
          <w:sz w:val="22"/>
          <w:lang w:val="en-GB"/>
        </w:rPr>
        <w:t xml:space="preserve"> situated in Africa (</w:t>
      </w:r>
      <w:proofErr w:type="spellStart"/>
      <w:r w:rsidRPr="008D2DDA">
        <w:rPr>
          <w:rFonts w:cs="Times New Roman"/>
          <w:sz w:val="22"/>
          <w:lang w:val="en-GB"/>
        </w:rPr>
        <w:t>Tekian</w:t>
      </w:r>
      <w:proofErr w:type="spellEnd"/>
      <w:r w:rsidRPr="008D2DDA">
        <w:rPr>
          <w:rFonts w:cs="Times New Roman"/>
          <w:sz w:val="22"/>
          <w:lang w:val="en-GB"/>
        </w:rPr>
        <w:t xml:space="preserve"> </w:t>
      </w:r>
      <w:r w:rsidR="001545C9">
        <w:rPr>
          <w:rFonts w:cs="Times New Roman"/>
          <w:sz w:val="22"/>
          <w:lang w:val="en-GB"/>
        </w:rPr>
        <w:t>&amp;</w:t>
      </w:r>
      <w:r w:rsidR="001545C9" w:rsidRPr="008D2DDA">
        <w:rPr>
          <w:rFonts w:cs="Times New Roman"/>
          <w:sz w:val="22"/>
          <w:lang w:val="en-GB"/>
        </w:rPr>
        <w:t xml:space="preserve"> </w:t>
      </w:r>
      <w:r w:rsidRPr="008D2DDA">
        <w:rPr>
          <w:rFonts w:cs="Times New Roman"/>
          <w:sz w:val="22"/>
          <w:lang w:val="en-GB"/>
        </w:rPr>
        <w:t xml:space="preserve">Harris 2012). </w:t>
      </w:r>
    </w:p>
    <w:p w14:paraId="46602B56" w14:textId="77777777" w:rsidR="00A42354" w:rsidRPr="008D2DDA" w:rsidRDefault="00A42354" w:rsidP="00875EC3">
      <w:pPr>
        <w:spacing w:after="0" w:line="276" w:lineRule="auto"/>
        <w:jc w:val="both"/>
        <w:rPr>
          <w:rFonts w:cs="Times New Roman"/>
          <w:szCs w:val="24"/>
        </w:rPr>
      </w:pPr>
    </w:p>
    <w:p w14:paraId="726B551C" w14:textId="211FF86E" w:rsidR="00A42354" w:rsidRPr="008D2DDA" w:rsidRDefault="00A42354" w:rsidP="00875EC3">
      <w:pPr>
        <w:spacing w:after="0" w:line="276" w:lineRule="auto"/>
        <w:jc w:val="both"/>
        <w:rPr>
          <w:rFonts w:cs="Times New Roman"/>
          <w:szCs w:val="24"/>
        </w:rPr>
      </w:pPr>
      <w:r w:rsidRPr="008D2DDA">
        <w:rPr>
          <w:rFonts w:cs="Times New Roman"/>
          <w:szCs w:val="24"/>
        </w:rPr>
        <w:t>One of the postgraduate programmes in Africa, the MPhil in Health Professions Education (HPE), has been offered by the Stellenbosch University Faculty of Medicine and Health Sciences, South Africa, since 2008. This two</w:t>
      </w:r>
      <w:r w:rsidR="009B52A3">
        <w:rPr>
          <w:rFonts w:cs="Times New Roman"/>
          <w:szCs w:val="24"/>
        </w:rPr>
        <w:t>-</w:t>
      </w:r>
      <w:r w:rsidRPr="008D2DDA">
        <w:rPr>
          <w:rFonts w:cs="Times New Roman"/>
          <w:szCs w:val="24"/>
        </w:rPr>
        <w:t xml:space="preserve">year modular programme is offered as a web-based online course with a compulsory residential period of one week each study year. Learning is facilitated via structured study materials, written assignments and electronic contact. </w:t>
      </w:r>
      <w:r w:rsidRPr="008D2DDA">
        <w:rPr>
          <w:rFonts w:eastAsia="Times New Roman" w:cs="Times New Roman"/>
          <w:szCs w:val="24"/>
        </w:rPr>
        <w:t xml:space="preserve">The programme aims to promote excellence with respect to education, research and community interaction in the field of HPE; to facilitate research in order to make a scholarly contribution to the body of knowledge in the field of HPE; and to develop leaders who can contribute to the advancement of evidence-based practice in higher education in health sciences on the African continent </w:t>
      </w:r>
      <w:r w:rsidRPr="008D2DDA">
        <w:rPr>
          <w:rFonts w:cs="Times New Roman"/>
          <w:szCs w:val="24"/>
        </w:rPr>
        <w:t xml:space="preserve">(van </w:t>
      </w:r>
      <w:proofErr w:type="spellStart"/>
      <w:r w:rsidRPr="008D2DDA">
        <w:rPr>
          <w:rFonts w:cs="Times New Roman"/>
          <w:szCs w:val="24"/>
        </w:rPr>
        <w:t>Heerden</w:t>
      </w:r>
      <w:proofErr w:type="spellEnd"/>
      <w:r w:rsidRPr="008D2DDA">
        <w:rPr>
          <w:rFonts w:cs="Times New Roman"/>
          <w:szCs w:val="24"/>
        </w:rPr>
        <w:t xml:space="preserve"> 2009)</w:t>
      </w:r>
      <w:r w:rsidRPr="008D2DDA">
        <w:rPr>
          <w:rFonts w:eastAsia="Times New Roman" w:cs="Times New Roman"/>
          <w:szCs w:val="24"/>
        </w:rPr>
        <w:t>.</w:t>
      </w:r>
      <w:r w:rsidRPr="008D2DDA">
        <w:rPr>
          <w:rFonts w:cs="Times New Roman"/>
          <w:szCs w:val="24"/>
        </w:rPr>
        <w:t xml:space="preserve"> </w:t>
      </w:r>
    </w:p>
    <w:p w14:paraId="1AAD0F55" w14:textId="77777777" w:rsidR="00A42354" w:rsidRPr="008D2DDA" w:rsidRDefault="00A42354" w:rsidP="00875EC3">
      <w:pPr>
        <w:spacing w:after="0" w:line="276" w:lineRule="auto"/>
        <w:jc w:val="both"/>
        <w:rPr>
          <w:rFonts w:cs="Times New Roman"/>
          <w:szCs w:val="24"/>
        </w:rPr>
      </w:pPr>
    </w:p>
    <w:p w14:paraId="7C31E29A" w14:textId="14A91A74" w:rsidR="00A42354" w:rsidRPr="008D2DDA" w:rsidRDefault="00A42354" w:rsidP="00875EC3">
      <w:pPr>
        <w:spacing w:after="0" w:line="276" w:lineRule="auto"/>
        <w:jc w:val="both"/>
        <w:rPr>
          <w:rFonts w:cs="Times New Roman"/>
          <w:szCs w:val="24"/>
        </w:rPr>
      </w:pPr>
      <w:r w:rsidRPr="008D2DDA">
        <w:rPr>
          <w:rFonts w:cs="Times New Roman"/>
          <w:szCs w:val="24"/>
        </w:rPr>
        <w:t xml:space="preserve">The majority of students accepted into the programme come from a health sciences background with experience of a positivist paradigm and quantitative research methodology. Barriers to the successful engagement with the educational paradigm, and the transition from health science to educational scholarship have been reported in the literature. Documented tensions include the new learning environment, diverse student cultural and educational backgrounds with lack of academic writing skills, time constraints due to competing responsibilities and workload, lack of peer support and lack of recognition for scholarship of teaching at academic institutions (Kumar </w:t>
      </w:r>
      <w:r w:rsidRPr="000B0981">
        <w:rPr>
          <w:rFonts w:cs="Times New Roman"/>
          <w:i/>
          <w:szCs w:val="24"/>
        </w:rPr>
        <w:t>et al.</w:t>
      </w:r>
      <w:r w:rsidRPr="008D2DDA">
        <w:rPr>
          <w:rFonts w:cs="Times New Roman"/>
          <w:szCs w:val="24"/>
        </w:rPr>
        <w:t xml:space="preserve"> 2011; Leibowitz 2012; </w:t>
      </w:r>
      <w:proofErr w:type="spellStart"/>
      <w:r w:rsidRPr="008D2DDA">
        <w:rPr>
          <w:szCs w:val="24"/>
        </w:rPr>
        <w:t>Zibrowski</w:t>
      </w:r>
      <w:proofErr w:type="spellEnd"/>
      <w:r w:rsidRPr="008D2DDA">
        <w:rPr>
          <w:szCs w:val="24"/>
        </w:rPr>
        <w:t xml:space="preserve"> </w:t>
      </w:r>
      <w:r w:rsidRPr="000B0981">
        <w:rPr>
          <w:i/>
          <w:szCs w:val="24"/>
        </w:rPr>
        <w:t>et al.</w:t>
      </w:r>
      <w:r w:rsidRPr="008D2DDA">
        <w:rPr>
          <w:szCs w:val="24"/>
        </w:rPr>
        <w:t xml:space="preserve"> 2008; </w:t>
      </w:r>
      <w:proofErr w:type="spellStart"/>
      <w:r w:rsidRPr="008D2DDA">
        <w:rPr>
          <w:rFonts w:cs="Times New Roman"/>
          <w:szCs w:val="24"/>
        </w:rPr>
        <w:t>Sethi</w:t>
      </w:r>
      <w:proofErr w:type="spellEnd"/>
      <w:r w:rsidRPr="008D2DDA">
        <w:rPr>
          <w:rFonts w:cs="Times New Roman"/>
          <w:szCs w:val="24"/>
        </w:rPr>
        <w:t xml:space="preserve"> </w:t>
      </w:r>
      <w:r w:rsidRPr="000B0981">
        <w:rPr>
          <w:rFonts w:cs="Times New Roman"/>
          <w:i/>
          <w:szCs w:val="24"/>
        </w:rPr>
        <w:t>et al.</w:t>
      </w:r>
      <w:r w:rsidRPr="008D2DDA">
        <w:rPr>
          <w:rFonts w:cs="Times New Roman"/>
          <w:szCs w:val="24"/>
        </w:rPr>
        <w:t xml:space="preserve"> 2017). Negative perceptions about the field of </w:t>
      </w:r>
      <w:r w:rsidRPr="008D2DDA">
        <w:rPr>
          <w:rFonts w:eastAsia="Times New Roman" w:cs="Times New Roman"/>
          <w:szCs w:val="24"/>
        </w:rPr>
        <w:t>educational research, concerns about mastering qualitative research as form of enquiry, and identity formation issues for non-education disciplinary experts to become scholars of teaching and learning, further undermined successful transition (</w:t>
      </w:r>
      <w:r w:rsidRPr="008D2DDA">
        <w:rPr>
          <w:rFonts w:cs="Times New Roman"/>
          <w:szCs w:val="24"/>
        </w:rPr>
        <w:t xml:space="preserve">Taylor </w:t>
      </w:r>
      <w:r w:rsidRPr="000B0981">
        <w:rPr>
          <w:rFonts w:cs="Times New Roman"/>
          <w:i/>
          <w:szCs w:val="24"/>
        </w:rPr>
        <w:t>et al.</w:t>
      </w:r>
      <w:r w:rsidRPr="008D2DDA">
        <w:rPr>
          <w:rFonts w:cs="Times New Roman"/>
          <w:szCs w:val="24"/>
        </w:rPr>
        <w:t xml:space="preserve"> 2007; </w:t>
      </w:r>
      <w:proofErr w:type="spellStart"/>
      <w:r w:rsidRPr="008D2DDA">
        <w:rPr>
          <w:rFonts w:cs="Times New Roman"/>
          <w:szCs w:val="24"/>
        </w:rPr>
        <w:t>Adendorff</w:t>
      </w:r>
      <w:proofErr w:type="spellEnd"/>
      <w:r w:rsidRPr="008D2DDA">
        <w:rPr>
          <w:rFonts w:cs="Times New Roman"/>
          <w:szCs w:val="24"/>
        </w:rPr>
        <w:t xml:space="preserve"> 2011)</w:t>
      </w:r>
      <w:r w:rsidRPr="008D2DDA">
        <w:rPr>
          <w:rFonts w:eastAsia="Times New Roman" w:cs="Times New Roman"/>
          <w:szCs w:val="24"/>
        </w:rPr>
        <w:t>.</w:t>
      </w:r>
      <w:r w:rsidRPr="008D2DDA">
        <w:rPr>
          <w:rFonts w:cs="Times New Roman"/>
          <w:szCs w:val="24"/>
        </w:rPr>
        <w:t xml:space="preserve"> </w:t>
      </w:r>
    </w:p>
    <w:p w14:paraId="20CF2D07" w14:textId="77777777" w:rsidR="00A42354" w:rsidRPr="008D2DDA" w:rsidRDefault="00A42354" w:rsidP="00875EC3">
      <w:pPr>
        <w:spacing w:after="0" w:line="276" w:lineRule="auto"/>
        <w:jc w:val="both"/>
        <w:rPr>
          <w:rFonts w:cs="Times New Roman"/>
          <w:szCs w:val="24"/>
        </w:rPr>
      </w:pPr>
    </w:p>
    <w:p w14:paraId="76201F4C" w14:textId="2E7EBA8C" w:rsidR="00821524" w:rsidRPr="008D2DDA" w:rsidRDefault="00A42354" w:rsidP="0035658E">
      <w:pPr>
        <w:pStyle w:val="CommentText"/>
        <w:spacing w:line="276" w:lineRule="auto"/>
        <w:jc w:val="both"/>
      </w:pPr>
      <w:r w:rsidRPr="008D2DDA">
        <w:rPr>
          <w:rFonts w:cs="Times New Roman"/>
          <w:sz w:val="22"/>
          <w:lang w:val="en-GB"/>
        </w:rPr>
        <w:t xml:space="preserve">Faculty development programmes like the sub-Saharan FAIMER Regional Institute (SAFRI) Fellowship, reported a positive developmental impact on both participants and their respective institutions (Frantz </w:t>
      </w:r>
      <w:r w:rsidRPr="000B0981">
        <w:rPr>
          <w:rFonts w:cs="Times New Roman"/>
          <w:i/>
        </w:rPr>
        <w:t>et al.</w:t>
      </w:r>
      <w:r w:rsidRPr="008D2DDA">
        <w:rPr>
          <w:rFonts w:cs="Times New Roman"/>
          <w:sz w:val="22"/>
          <w:lang w:val="en-GB"/>
        </w:rPr>
        <w:t xml:space="preserve"> 2015), but little is known about the experiences and development as health professions educators of students enrolled in postgraduate Master</w:t>
      </w:r>
      <w:r w:rsidR="00EB0A35">
        <w:rPr>
          <w:rFonts w:cs="Times New Roman"/>
          <w:sz w:val="22"/>
          <w:lang w:val="en-GB"/>
        </w:rPr>
        <w:t>’s</w:t>
      </w:r>
      <w:r w:rsidRPr="008D2DDA">
        <w:rPr>
          <w:rFonts w:cs="Times New Roman"/>
          <w:sz w:val="22"/>
          <w:lang w:val="en-GB"/>
        </w:rPr>
        <w:t xml:space="preserve">-level degree programmes in an African context. This study aimed to investigate </w:t>
      </w:r>
      <w:r w:rsidR="00397528">
        <w:rPr>
          <w:rFonts w:cs="Times New Roman"/>
          <w:sz w:val="22"/>
          <w:lang w:val="en-GB"/>
        </w:rPr>
        <w:t xml:space="preserve">the </w:t>
      </w:r>
      <w:r w:rsidR="00397528" w:rsidRPr="008D2DDA">
        <w:rPr>
          <w:rFonts w:cs="Times New Roman"/>
          <w:sz w:val="22"/>
          <w:lang w:val="en-GB"/>
        </w:rPr>
        <w:t xml:space="preserve">educational biographies </w:t>
      </w:r>
      <w:r w:rsidR="00397528">
        <w:rPr>
          <w:rFonts w:cs="Times New Roman"/>
          <w:sz w:val="22"/>
          <w:lang w:val="en-GB"/>
        </w:rPr>
        <w:t xml:space="preserve">of </w:t>
      </w:r>
      <w:r w:rsidRPr="008D2DDA">
        <w:rPr>
          <w:rFonts w:cs="Times New Roman"/>
          <w:sz w:val="22"/>
          <w:lang w:val="en-GB"/>
        </w:rPr>
        <w:t>students</w:t>
      </w:r>
      <w:r w:rsidR="00601C15" w:rsidRPr="008D2DDA">
        <w:rPr>
          <w:rFonts w:cs="Times New Roman"/>
          <w:sz w:val="22"/>
          <w:lang w:val="en-GB"/>
        </w:rPr>
        <w:t xml:space="preserve"> </w:t>
      </w:r>
      <w:r w:rsidRPr="008D2DDA">
        <w:rPr>
          <w:rFonts w:cs="Times New Roman"/>
          <w:sz w:val="22"/>
          <w:lang w:val="en-GB"/>
        </w:rPr>
        <w:t xml:space="preserve">enrolled in the MPhil in HPE at the University of Stellenbosch and </w:t>
      </w:r>
      <w:r w:rsidR="00397528">
        <w:rPr>
          <w:rFonts w:cs="Times New Roman"/>
          <w:sz w:val="22"/>
          <w:lang w:val="en-GB"/>
        </w:rPr>
        <w:t xml:space="preserve">their </w:t>
      </w:r>
      <w:r w:rsidRPr="008D2DDA">
        <w:rPr>
          <w:rFonts w:cs="Times New Roman"/>
          <w:sz w:val="22"/>
          <w:lang w:val="en-GB"/>
        </w:rPr>
        <w:t>first</w:t>
      </w:r>
      <w:r w:rsidR="00EB0A35">
        <w:rPr>
          <w:rFonts w:cs="Times New Roman"/>
          <w:sz w:val="22"/>
          <w:lang w:val="en-GB"/>
        </w:rPr>
        <w:t>-</w:t>
      </w:r>
      <w:r w:rsidRPr="008D2DDA">
        <w:rPr>
          <w:rFonts w:cs="Times New Roman"/>
          <w:sz w:val="22"/>
          <w:lang w:val="en-GB"/>
        </w:rPr>
        <w:t>year experiences of postgraduate study. Exploring the experiences of these students in their transition to an educational scholarship paradigm has implications for the design of postgraduate programmes in HPE</w:t>
      </w:r>
      <w:r w:rsidR="00EB0A35">
        <w:rPr>
          <w:rFonts w:cs="Times New Roman"/>
          <w:sz w:val="22"/>
          <w:lang w:val="en-GB"/>
        </w:rPr>
        <w:t>,</w:t>
      </w:r>
      <w:r w:rsidRPr="008D2DDA">
        <w:rPr>
          <w:rFonts w:cs="Times New Roman"/>
          <w:sz w:val="22"/>
          <w:lang w:val="en-GB"/>
        </w:rPr>
        <w:t xml:space="preserve"> both locally and </w:t>
      </w:r>
      <w:r w:rsidR="00EB0A35">
        <w:rPr>
          <w:rFonts w:cs="Times New Roman"/>
          <w:sz w:val="22"/>
          <w:lang w:val="en-GB"/>
        </w:rPr>
        <w:t xml:space="preserve">in </w:t>
      </w:r>
      <w:r w:rsidRPr="008D2DDA">
        <w:rPr>
          <w:rFonts w:cs="Times New Roman"/>
          <w:sz w:val="22"/>
          <w:lang w:val="en-GB"/>
        </w:rPr>
        <w:t xml:space="preserve">the larger global South. </w:t>
      </w:r>
    </w:p>
    <w:p w14:paraId="495DA730" w14:textId="77777777" w:rsidR="00821524" w:rsidRPr="008D2DDA" w:rsidRDefault="00821524" w:rsidP="00875EC3">
      <w:pPr>
        <w:spacing w:after="0" w:line="276" w:lineRule="auto"/>
        <w:jc w:val="both"/>
        <w:rPr>
          <w:rFonts w:cs="Times New Roman"/>
          <w:b/>
          <w:color w:val="7B7B7B" w:themeColor="accent3" w:themeShade="BF"/>
          <w:szCs w:val="24"/>
        </w:rPr>
      </w:pPr>
    </w:p>
    <w:p w14:paraId="28E3AA97" w14:textId="2FCE4E9C" w:rsidR="00A42354" w:rsidRPr="009943E9" w:rsidRDefault="005E52AA" w:rsidP="00821524">
      <w:pPr>
        <w:spacing w:line="276" w:lineRule="auto"/>
        <w:jc w:val="both"/>
        <w:rPr>
          <w:rFonts w:cs="Times New Roman"/>
          <w:b/>
          <w:color w:val="7B7B7B" w:themeColor="accent3" w:themeShade="BF"/>
          <w:sz w:val="28"/>
          <w:szCs w:val="24"/>
        </w:rPr>
      </w:pPr>
      <w:r w:rsidRPr="009943E9">
        <w:rPr>
          <w:rFonts w:cs="Times New Roman"/>
          <w:b/>
          <w:color w:val="7B7B7B" w:themeColor="accent3" w:themeShade="BF"/>
          <w:sz w:val="28"/>
          <w:szCs w:val="24"/>
        </w:rPr>
        <w:t>Methods</w:t>
      </w:r>
    </w:p>
    <w:p w14:paraId="411427A4" w14:textId="50A7EAA0" w:rsidR="00A42354" w:rsidRPr="008D2DDA" w:rsidRDefault="00A42354" w:rsidP="00875EC3">
      <w:pPr>
        <w:spacing w:after="0" w:line="276" w:lineRule="auto"/>
        <w:jc w:val="both"/>
        <w:rPr>
          <w:rFonts w:cs="Times New Roman"/>
          <w:szCs w:val="24"/>
        </w:rPr>
      </w:pPr>
      <w:r w:rsidRPr="008D2DDA">
        <w:rPr>
          <w:rFonts w:cs="Times New Roman"/>
          <w:szCs w:val="24"/>
        </w:rPr>
        <w:t>A two-phase</w:t>
      </w:r>
      <w:r w:rsidR="00260691" w:rsidRPr="008D2DDA">
        <w:rPr>
          <w:rFonts w:cs="Times New Roman"/>
          <w:szCs w:val="24"/>
        </w:rPr>
        <w:t xml:space="preserve">d qualitative design was used. </w:t>
      </w:r>
      <w:r w:rsidRPr="008D2DDA">
        <w:rPr>
          <w:rFonts w:cs="Times New Roman"/>
          <w:szCs w:val="24"/>
        </w:rPr>
        <w:t>Twelve first-year MPhil in HPE students partici</w:t>
      </w:r>
      <w:r w:rsidR="00260691" w:rsidRPr="008D2DDA">
        <w:rPr>
          <w:rFonts w:cs="Times New Roman"/>
          <w:szCs w:val="24"/>
        </w:rPr>
        <w:t xml:space="preserve">pated in Phase 1 of the study. </w:t>
      </w:r>
      <w:r w:rsidRPr="008D2DDA">
        <w:rPr>
          <w:rFonts w:cs="Times New Roman"/>
          <w:szCs w:val="24"/>
        </w:rPr>
        <w:t xml:space="preserve">This participatory action research project formed part of the </w:t>
      </w:r>
      <w:r w:rsidRPr="008D2DDA">
        <w:rPr>
          <w:rFonts w:cs="Arial"/>
          <w:szCs w:val="24"/>
          <w:lang w:bidi="th-TH"/>
        </w:rPr>
        <w:t>‘Educational Research for Change in Health Science Education’ module</w:t>
      </w:r>
      <w:r w:rsidRPr="008D2DDA">
        <w:rPr>
          <w:rFonts w:cs="Times New Roman"/>
          <w:szCs w:val="24"/>
        </w:rPr>
        <w:t xml:space="preserve"> where students interviewed each other, using a list of open</w:t>
      </w:r>
      <w:r w:rsidR="008149C2">
        <w:rPr>
          <w:rFonts w:cs="Times New Roman"/>
          <w:szCs w:val="24"/>
        </w:rPr>
        <w:t>-</w:t>
      </w:r>
      <w:r w:rsidRPr="008D2DDA">
        <w:rPr>
          <w:rFonts w:cs="Times New Roman"/>
          <w:szCs w:val="24"/>
        </w:rPr>
        <w:t xml:space="preserve">ended questions constructed in advance by the module convener. Questions </w:t>
      </w:r>
      <w:r w:rsidRPr="008D2DDA">
        <w:rPr>
          <w:rFonts w:cs="Times New Roman"/>
          <w:szCs w:val="24"/>
        </w:rPr>
        <w:lastRenderedPageBreak/>
        <w:t>included student personal details, reason for enrolment in the programme, educational biographies, research experience, apprehensions and expectations, as well as anticipated support and identified personal strengths. All students participated in the coding of the interviews and compiled reports on the data for assessment purposes.</w:t>
      </w:r>
    </w:p>
    <w:p w14:paraId="3D418EAD" w14:textId="77777777" w:rsidR="00A42354" w:rsidRPr="008D2DDA" w:rsidRDefault="00A42354" w:rsidP="00875EC3">
      <w:pPr>
        <w:spacing w:after="0" w:line="276" w:lineRule="auto"/>
        <w:jc w:val="both"/>
        <w:rPr>
          <w:rFonts w:cs="Times New Roman"/>
          <w:szCs w:val="24"/>
        </w:rPr>
      </w:pPr>
    </w:p>
    <w:p w14:paraId="170B635C" w14:textId="7E325279" w:rsidR="00A42354" w:rsidRPr="008D2DDA" w:rsidRDefault="00A42354" w:rsidP="00875EC3">
      <w:pPr>
        <w:spacing w:after="0" w:line="276" w:lineRule="auto"/>
        <w:jc w:val="both"/>
        <w:rPr>
          <w:rFonts w:cs="Times New Roman"/>
          <w:szCs w:val="24"/>
        </w:rPr>
      </w:pPr>
      <w:r w:rsidRPr="008D2DDA">
        <w:rPr>
          <w:rFonts w:cs="Times New Roman"/>
          <w:szCs w:val="24"/>
        </w:rPr>
        <w:t>Seven students volunteered to participate in Phase 2 of the study. Three students ha</w:t>
      </w:r>
      <w:r w:rsidR="000777E5">
        <w:rPr>
          <w:rFonts w:cs="Times New Roman"/>
          <w:szCs w:val="24"/>
        </w:rPr>
        <w:t>d</w:t>
      </w:r>
      <w:r w:rsidRPr="008D2DDA">
        <w:rPr>
          <w:rFonts w:cs="Times New Roman"/>
          <w:szCs w:val="24"/>
        </w:rPr>
        <w:t xml:space="preserve"> at this stage either left the programme, or ha</w:t>
      </w:r>
      <w:r w:rsidR="000777E5">
        <w:rPr>
          <w:rFonts w:cs="Times New Roman"/>
          <w:szCs w:val="24"/>
        </w:rPr>
        <w:t>d</w:t>
      </w:r>
      <w:r w:rsidRPr="008D2DDA">
        <w:rPr>
          <w:rFonts w:cs="Times New Roman"/>
          <w:szCs w:val="24"/>
        </w:rPr>
        <w:t xml:space="preserve"> asked to extend their training time. A further </w:t>
      </w:r>
      <w:r w:rsidR="000777E5">
        <w:rPr>
          <w:rFonts w:cs="Times New Roman"/>
          <w:szCs w:val="24"/>
        </w:rPr>
        <w:t>two</w:t>
      </w:r>
      <w:r w:rsidRPr="008D2DDA">
        <w:rPr>
          <w:rFonts w:cs="Times New Roman"/>
          <w:szCs w:val="24"/>
        </w:rPr>
        <w:t xml:space="preserve"> students subsequently did not complete the programme in the </w:t>
      </w:r>
      <w:r w:rsidR="000777E5">
        <w:rPr>
          <w:rFonts w:cs="Times New Roman"/>
          <w:szCs w:val="24"/>
        </w:rPr>
        <w:t>two-</w:t>
      </w:r>
      <w:r w:rsidRPr="008D2DDA">
        <w:rPr>
          <w:rFonts w:cs="Times New Roman"/>
          <w:szCs w:val="24"/>
        </w:rPr>
        <w:t>year time frame. Focus</w:t>
      </w:r>
      <w:r w:rsidR="000777E5">
        <w:rPr>
          <w:rFonts w:cs="Times New Roman"/>
          <w:szCs w:val="24"/>
        </w:rPr>
        <w:t>-</w:t>
      </w:r>
      <w:r w:rsidRPr="008D2DDA">
        <w:rPr>
          <w:rFonts w:cs="Times New Roman"/>
          <w:szCs w:val="24"/>
        </w:rPr>
        <w:t xml:space="preserve">group discussion during the contact week at the start of year two of the programme explored students’ experiences during the first year of study. The focus group discussion was recorded for transcription, coding and analysis. </w:t>
      </w:r>
    </w:p>
    <w:p w14:paraId="2AEF721A" w14:textId="77777777" w:rsidR="00A42354" w:rsidRPr="008D2DDA" w:rsidRDefault="00A42354" w:rsidP="00875EC3">
      <w:pPr>
        <w:spacing w:after="0" w:line="276" w:lineRule="auto"/>
        <w:jc w:val="both"/>
        <w:rPr>
          <w:rFonts w:cs="Times New Roman"/>
          <w:szCs w:val="24"/>
        </w:rPr>
      </w:pPr>
    </w:p>
    <w:p w14:paraId="3EF91355" w14:textId="7C5B6B28" w:rsidR="00A42354" w:rsidRPr="008D2DDA" w:rsidRDefault="00A42354" w:rsidP="00875EC3">
      <w:pPr>
        <w:spacing w:after="0" w:line="276" w:lineRule="auto"/>
        <w:jc w:val="both"/>
        <w:rPr>
          <w:rFonts w:cs="Times New Roman"/>
          <w:szCs w:val="24"/>
        </w:rPr>
      </w:pPr>
      <w:r w:rsidRPr="008D2DDA">
        <w:rPr>
          <w:rFonts w:cs="Times New Roman"/>
          <w:szCs w:val="24"/>
        </w:rPr>
        <w:t>Four of the students in collaboration with the module conven</w:t>
      </w:r>
      <w:r w:rsidR="000777E5">
        <w:rPr>
          <w:rFonts w:cs="Times New Roman"/>
          <w:szCs w:val="24"/>
        </w:rPr>
        <w:t>e</w:t>
      </w:r>
      <w:r w:rsidRPr="008D2DDA">
        <w:rPr>
          <w:rFonts w:cs="Times New Roman"/>
          <w:szCs w:val="24"/>
        </w:rPr>
        <w:t>r analy</w:t>
      </w:r>
      <w:r w:rsidR="00683BD0" w:rsidRPr="008D2DDA">
        <w:rPr>
          <w:rFonts w:cs="Times New Roman"/>
          <w:szCs w:val="24"/>
        </w:rPr>
        <w:t>s</w:t>
      </w:r>
      <w:r w:rsidRPr="008D2DDA">
        <w:rPr>
          <w:rFonts w:cs="Times New Roman"/>
          <w:szCs w:val="24"/>
        </w:rPr>
        <w:t xml:space="preserve">ed the data using basic content </w:t>
      </w:r>
      <w:r w:rsidR="000777E5">
        <w:rPr>
          <w:rFonts w:cs="Times New Roman"/>
          <w:szCs w:val="24"/>
        </w:rPr>
        <w:t xml:space="preserve">and </w:t>
      </w:r>
      <w:r w:rsidRPr="008D2DDA">
        <w:rPr>
          <w:rFonts w:cs="Times New Roman"/>
          <w:szCs w:val="24"/>
        </w:rPr>
        <w:t>thematic analysis with consensus reached between investigators before final analysis. Demographic data was analysed using descriptive statistics.</w:t>
      </w:r>
    </w:p>
    <w:p w14:paraId="74676D15" w14:textId="77777777" w:rsidR="00A42354" w:rsidRPr="008D2DDA" w:rsidRDefault="00A42354" w:rsidP="00875EC3">
      <w:pPr>
        <w:spacing w:after="0" w:line="276" w:lineRule="auto"/>
        <w:jc w:val="both"/>
        <w:rPr>
          <w:rFonts w:cs="Times New Roman"/>
          <w:szCs w:val="24"/>
        </w:rPr>
      </w:pPr>
    </w:p>
    <w:p w14:paraId="3ED0AA3A" w14:textId="77777777" w:rsidR="00A42354" w:rsidRPr="008D2DDA" w:rsidRDefault="00A42354" w:rsidP="00875EC3">
      <w:pPr>
        <w:spacing w:after="0" w:line="276" w:lineRule="auto"/>
        <w:jc w:val="both"/>
        <w:rPr>
          <w:rFonts w:cs="Times New Roman"/>
          <w:szCs w:val="24"/>
        </w:rPr>
      </w:pPr>
      <w:r w:rsidRPr="008D2DDA">
        <w:rPr>
          <w:rFonts w:cs="Times New Roman"/>
          <w:szCs w:val="24"/>
        </w:rPr>
        <w:t>This study was approved by the Health Research Ethics Committee of Stellenbosch University.</w:t>
      </w:r>
    </w:p>
    <w:p w14:paraId="661F469D" w14:textId="77777777" w:rsidR="00A42354" w:rsidRPr="008B2A40" w:rsidRDefault="00A42354" w:rsidP="00875EC3">
      <w:pPr>
        <w:spacing w:after="0" w:line="276" w:lineRule="auto"/>
        <w:jc w:val="both"/>
        <w:rPr>
          <w:rFonts w:cs="Times New Roman"/>
          <w:sz w:val="24"/>
          <w:szCs w:val="24"/>
        </w:rPr>
      </w:pPr>
    </w:p>
    <w:p w14:paraId="5FEC35FF" w14:textId="7FED9116" w:rsidR="00C97538" w:rsidRPr="009943E9" w:rsidRDefault="005E52AA" w:rsidP="00306679">
      <w:pPr>
        <w:spacing w:line="240" w:lineRule="auto"/>
        <w:jc w:val="both"/>
        <w:rPr>
          <w:rFonts w:cs="Times New Roman"/>
          <w:i/>
          <w:sz w:val="28"/>
          <w:szCs w:val="24"/>
        </w:rPr>
      </w:pPr>
      <w:r w:rsidRPr="009943E9">
        <w:rPr>
          <w:rFonts w:cs="Times New Roman"/>
          <w:b/>
          <w:color w:val="7B7B7B" w:themeColor="accent3" w:themeShade="BF"/>
          <w:sz w:val="28"/>
          <w:szCs w:val="24"/>
        </w:rPr>
        <w:t>Findings and discussion</w:t>
      </w:r>
    </w:p>
    <w:p w14:paraId="03E0731F" w14:textId="77777777" w:rsidR="00A42354" w:rsidRPr="008B2A40" w:rsidRDefault="00C97538" w:rsidP="00306679">
      <w:pPr>
        <w:spacing w:line="240"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t>Participant demographics and educational biographies</w:t>
      </w:r>
    </w:p>
    <w:p w14:paraId="54AD2CED" w14:textId="5A2AD08B" w:rsidR="00A42354" w:rsidRPr="008D2DDA" w:rsidRDefault="00A42354" w:rsidP="00875EC3">
      <w:pPr>
        <w:spacing w:after="0" w:line="276" w:lineRule="auto"/>
        <w:jc w:val="both"/>
        <w:rPr>
          <w:rFonts w:cs="Times New Roman"/>
          <w:szCs w:val="24"/>
        </w:rPr>
      </w:pPr>
      <w:r w:rsidRPr="008D2DDA">
        <w:rPr>
          <w:rFonts w:cs="Times New Roman"/>
          <w:szCs w:val="24"/>
        </w:rPr>
        <w:t xml:space="preserve">Eight females and four males were interviewed during phase 1 of the study. Ages ranged from 30 to 60 years with a median age of 41 years. All students bar one were from the African continent. Most students were from South Africa (8), </w:t>
      </w:r>
      <w:r w:rsidR="00E33553">
        <w:rPr>
          <w:rFonts w:cs="Times New Roman"/>
          <w:szCs w:val="24"/>
        </w:rPr>
        <w:t>but there were also students from</w:t>
      </w:r>
      <w:r w:rsidRPr="008D2DDA">
        <w:rPr>
          <w:rFonts w:cs="Times New Roman"/>
          <w:szCs w:val="24"/>
        </w:rPr>
        <w:t xml:space="preserve"> Lesotho (1), Zimbabwe (1), Nigeria (1) and Pakistan (1). </w:t>
      </w:r>
    </w:p>
    <w:p w14:paraId="12A15093" w14:textId="77777777" w:rsidR="00A42354" w:rsidRPr="008D2DDA" w:rsidRDefault="00A42354" w:rsidP="00875EC3">
      <w:pPr>
        <w:spacing w:after="0" w:line="276" w:lineRule="auto"/>
        <w:jc w:val="both"/>
        <w:rPr>
          <w:rFonts w:cs="Times New Roman"/>
          <w:szCs w:val="24"/>
        </w:rPr>
      </w:pPr>
    </w:p>
    <w:p w14:paraId="519CCE06" w14:textId="7A9851FA" w:rsidR="00A42354" w:rsidRPr="008D2DDA" w:rsidRDefault="00A42354" w:rsidP="00875EC3">
      <w:pPr>
        <w:spacing w:after="0" w:line="276" w:lineRule="auto"/>
        <w:jc w:val="both"/>
        <w:rPr>
          <w:rFonts w:cs="Times New Roman"/>
          <w:szCs w:val="24"/>
        </w:rPr>
      </w:pPr>
      <w:r w:rsidRPr="008D2DDA">
        <w:rPr>
          <w:rFonts w:cs="Times New Roman"/>
          <w:szCs w:val="24"/>
        </w:rPr>
        <w:t>A diverse spectrum of health sciences disciplines were represented, with six participants qualified as medical doctors, five as nurses and o</w:t>
      </w:r>
      <w:r w:rsidR="00260691" w:rsidRPr="008D2DDA">
        <w:rPr>
          <w:rFonts w:cs="Times New Roman"/>
          <w:szCs w:val="24"/>
        </w:rPr>
        <w:t xml:space="preserve">ne allied health professional. </w:t>
      </w:r>
      <w:r w:rsidRPr="008D2DDA">
        <w:rPr>
          <w:rFonts w:cs="Times New Roman"/>
          <w:szCs w:val="24"/>
        </w:rPr>
        <w:t xml:space="preserve">All participants were affiliated with an institution of higher education, both public and private, with teaching of under and/or postgraduate students being part of their daily jobs. Seven participants were full-time medical educators, with four mainly involved in clinical work with added teaching responsibilities, and one a full-time education administrator. </w:t>
      </w:r>
    </w:p>
    <w:p w14:paraId="0798A5FB" w14:textId="77777777" w:rsidR="00A42354" w:rsidRPr="008D2DDA" w:rsidRDefault="00A42354" w:rsidP="00875EC3">
      <w:pPr>
        <w:spacing w:after="0" w:line="276" w:lineRule="auto"/>
        <w:jc w:val="both"/>
        <w:rPr>
          <w:rFonts w:cs="Times New Roman"/>
          <w:szCs w:val="24"/>
        </w:rPr>
      </w:pPr>
    </w:p>
    <w:p w14:paraId="062453F2" w14:textId="120E849A" w:rsidR="00A42354" w:rsidRPr="008D2DDA" w:rsidRDefault="00A42354" w:rsidP="00875EC3">
      <w:pPr>
        <w:spacing w:after="0" w:line="276" w:lineRule="auto"/>
        <w:jc w:val="both"/>
        <w:rPr>
          <w:rFonts w:cs="Times New Roman"/>
          <w:szCs w:val="24"/>
        </w:rPr>
      </w:pPr>
      <w:r w:rsidRPr="008D2DDA">
        <w:rPr>
          <w:rFonts w:cs="Times New Roman"/>
          <w:szCs w:val="24"/>
        </w:rPr>
        <w:t xml:space="preserve">Participants entered the MPhil programme with a range of previous educational training, </w:t>
      </w:r>
      <w:r w:rsidR="00260691" w:rsidRPr="008D2DDA">
        <w:rPr>
          <w:rFonts w:cs="Times New Roman"/>
          <w:szCs w:val="24"/>
        </w:rPr>
        <w:t xml:space="preserve">in terms of </w:t>
      </w:r>
      <w:r w:rsidR="00E33553" w:rsidRPr="008D2DDA">
        <w:rPr>
          <w:rFonts w:cs="Times New Roman"/>
          <w:szCs w:val="24"/>
        </w:rPr>
        <w:t xml:space="preserve">both </w:t>
      </w:r>
      <w:r w:rsidR="00260691" w:rsidRPr="008D2DDA">
        <w:rPr>
          <w:rFonts w:cs="Times New Roman"/>
          <w:szCs w:val="24"/>
        </w:rPr>
        <w:t xml:space="preserve">level and content. </w:t>
      </w:r>
      <w:r w:rsidRPr="008D2DDA">
        <w:rPr>
          <w:rFonts w:cs="Times New Roman"/>
          <w:szCs w:val="24"/>
        </w:rPr>
        <w:t xml:space="preserve">Four had previously obtained a diploma or degree in education. Five participants had attended one or more courses in various aspects of teaching and learning including assessment, service learning, moderating and clinical supervision. Three participants reported no previous exposure to any educational training. </w:t>
      </w:r>
    </w:p>
    <w:p w14:paraId="3AB52283" w14:textId="77777777" w:rsidR="00A42354" w:rsidRPr="008D2DDA" w:rsidRDefault="00A42354" w:rsidP="00875EC3">
      <w:pPr>
        <w:spacing w:after="0" w:line="276" w:lineRule="auto"/>
        <w:jc w:val="both"/>
        <w:rPr>
          <w:rFonts w:cs="Times New Roman"/>
          <w:szCs w:val="24"/>
        </w:rPr>
      </w:pPr>
    </w:p>
    <w:p w14:paraId="51F9CCE3" w14:textId="542F3F84" w:rsidR="00A42354" w:rsidRPr="008D2DDA" w:rsidRDefault="0029430D" w:rsidP="00875EC3">
      <w:pPr>
        <w:spacing w:after="0" w:line="276" w:lineRule="auto"/>
        <w:jc w:val="both"/>
        <w:rPr>
          <w:rFonts w:cs="Times New Roman"/>
          <w:szCs w:val="24"/>
        </w:rPr>
      </w:pPr>
      <w:r>
        <w:rPr>
          <w:rFonts w:cs="Times New Roman"/>
          <w:szCs w:val="24"/>
        </w:rPr>
        <w:t>It should be noted</w:t>
      </w:r>
      <w:r w:rsidR="00A42354" w:rsidRPr="008D2DDA">
        <w:rPr>
          <w:rFonts w:cs="Times New Roman"/>
          <w:szCs w:val="24"/>
        </w:rPr>
        <w:t xml:space="preserve"> that, despite all students being affiliated with higher education institutions, only three students had contributed to the generation of new knowledge in peer-reviewed journals in the field of teaching and learning at the time of enrol</w:t>
      </w:r>
      <w:r w:rsidR="00260691" w:rsidRPr="008D2DDA">
        <w:rPr>
          <w:rFonts w:cs="Times New Roman"/>
          <w:szCs w:val="24"/>
        </w:rPr>
        <w:t xml:space="preserve">ment. </w:t>
      </w:r>
      <w:r w:rsidR="00A42354" w:rsidRPr="008D2DDA">
        <w:rPr>
          <w:rFonts w:cs="Times New Roman"/>
          <w:szCs w:val="24"/>
        </w:rPr>
        <w:t xml:space="preserve">Five participants had attended research methodology courses or modules as part of their undergraduate or postgraduate health sciences training, but practical research experience was extremely limited. Although seven participants had some previous research experience, </w:t>
      </w:r>
      <w:r w:rsidR="00BB4BCD">
        <w:rPr>
          <w:rFonts w:cs="Times New Roman"/>
          <w:szCs w:val="24"/>
        </w:rPr>
        <w:t>it was primarily</w:t>
      </w:r>
      <w:r w:rsidR="00A42354" w:rsidRPr="008D2DDA">
        <w:rPr>
          <w:rFonts w:cs="Times New Roman"/>
          <w:szCs w:val="24"/>
        </w:rPr>
        <w:t xml:space="preserve"> quantitative</w:t>
      </w:r>
      <w:r w:rsidR="00BB4BCD">
        <w:rPr>
          <w:rFonts w:cs="Times New Roman"/>
          <w:szCs w:val="24"/>
        </w:rPr>
        <w:t xml:space="preserve">, </w:t>
      </w:r>
      <w:r w:rsidR="00A42354" w:rsidRPr="008D2DDA">
        <w:rPr>
          <w:rFonts w:cs="Times New Roman"/>
          <w:szCs w:val="24"/>
        </w:rPr>
        <w:t xml:space="preserve">and only two had been involved in </w:t>
      </w:r>
      <w:r w:rsidR="00A42354" w:rsidRPr="008D2DDA">
        <w:rPr>
          <w:rFonts w:cs="Times New Roman"/>
          <w:szCs w:val="24"/>
        </w:rPr>
        <w:lastRenderedPageBreak/>
        <w:t>more than one research project. Two students reported previous Master</w:t>
      </w:r>
      <w:r w:rsidR="00BB4BCD">
        <w:rPr>
          <w:rFonts w:cs="Times New Roman"/>
          <w:szCs w:val="24"/>
        </w:rPr>
        <w:t>’s</w:t>
      </w:r>
      <w:r w:rsidR="00A42354" w:rsidRPr="008D2DDA">
        <w:rPr>
          <w:rFonts w:cs="Times New Roman"/>
          <w:szCs w:val="24"/>
        </w:rPr>
        <w:t xml:space="preserve"> degree experience which again included quantitative research only.</w:t>
      </w:r>
    </w:p>
    <w:p w14:paraId="7735FD5F" w14:textId="77777777" w:rsidR="00A42354" w:rsidRPr="0035658E" w:rsidRDefault="00A42354" w:rsidP="00875EC3">
      <w:pPr>
        <w:spacing w:after="0" w:line="276" w:lineRule="auto"/>
        <w:jc w:val="both"/>
        <w:rPr>
          <w:rFonts w:cs="Times New Roman"/>
        </w:rPr>
      </w:pPr>
    </w:p>
    <w:p w14:paraId="6D462EB4" w14:textId="77777777" w:rsidR="00A42354" w:rsidRPr="008B2A40" w:rsidRDefault="00A42354" w:rsidP="00F43DE9">
      <w:pPr>
        <w:spacing w:line="276"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t>Motivation for Postgraduate Studies in Health Education</w:t>
      </w:r>
    </w:p>
    <w:p w14:paraId="387A9FB5" w14:textId="77777777" w:rsidR="00A42354" w:rsidRPr="008D2DDA" w:rsidRDefault="00A42354" w:rsidP="00875EC3">
      <w:pPr>
        <w:spacing w:after="0" w:line="276" w:lineRule="auto"/>
        <w:jc w:val="both"/>
        <w:rPr>
          <w:rFonts w:cs="Times New Roman"/>
          <w:szCs w:val="24"/>
        </w:rPr>
      </w:pPr>
      <w:proofErr w:type="spellStart"/>
      <w:r w:rsidRPr="008D2DDA">
        <w:rPr>
          <w:rFonts w:cs="Times New Roman"/>
          <w:szCs w:val="24"/>
        </w:rPr>
        <w:t>Sethi</w:t>
      </w:r>
      <w:proofErr w:type="spellEnd"/>
      <w:r w:rsidRPr="008D2DDA">
        <w:rPr>
          <w:rFonts w:cs="Times New Roman"/>
          <w:szCs w:val="24"/>
        </w:rPr>
        <w:t xml:space="preserve"> and colleagues (2017) suggested that the growing expectation of regulatory bodies for medical educators to have formal training for their educational role, together with increased accountability of higher education institutions, have resulted not only in the </w:t>
      </w:r>
      <w:proofErr w:type="spellStart"/>
      <w:r w:rsidRPr="008D2DDA">
        <w:rPr>
          <w:rFonts w:cs="Times New Roman"/>
          <w:szCs w:val="24"/>
        </w:rPr>
        <w:t>professionalisation</w:t>
      </w:r>
      <w:proofErr w:type="spellEnd"/>
      <w:r w:rsidRPr="008D2DDA">
        <w:rPr>
          <w:rFonts w:cs="Times New Roman"/>
          <w:szCs w:val="24"/>
        </w:rPr>
        <w:t xml:space="preserve"> of medical education, but also in an increase in the demand for postgraduate qualifications in medical education. </w:t>
      </w:r>
    </w:p>
    <w:p w14:paraId="534DC762" w14:textId="77777777" w:rsidR="00A42354" w:rsidRPr="008D2DDA" w:rsidRDefault="00A42354" w:rsidP="00875EC3">
      <w:pPr>
        <w:spacing w:after="0" w:line="276" w:lineRule="auto"/>
        <w:jc w:val="both"/>
        <w:rPr>
          <w:rFonts w:cs="Times New Roman"/>
          <w:szCs w:val="24"/>
        </w:rPr>
      </w:pPr>
    </w:p>
    <w:p w14:paraId="69E6D244" w14:textId="3326B63B" w:rsidR="00A42354" w:rsidRPr="008D2DDA" w:rsidRDefault="00935D73" w:rsidP="00875EC3">
      <w:pPr>
        <w:spacing w:after="0" w:line="276" w:lineRule="auto"/>
        <w:jc w:val="both"/>
        <w:rPr>
          <w:rFonts w:eastAsia="Times New Roman" w:cs="Times New Roman"/>
          <w:szCs w:val="24"/>
        </w:rPr>
      </w:pPr>
      <w:r>
        <w:rPr>
          <w:rFonts w:cs="Times New Roman"/>
          <w:szCs w:val="24"/>
        </w:rPr>
        <w:t>H</w:t>
      </w:r>
      <w:r w:rsidRPr="008D2DDA">
        <w:rPr>
          <w:rFonts w:cs="Times New Roman"/>
          <w:szCs w:val="24"/>
        </w:rPr>
        <w:t>owever</w:t>
      </w:r>
      <w:r>
        <w:rPr>
          <w:rFonts w:cs="Times New Roman"/>
          <w:szCs w:val="24"/>
        </w:rPr>
        <w:t>,</w:t>
      </w:r>
      <w:r w:rsidRPr="008D2DDA">
        <w:rPr>
          <w:rFonts w:cs="Times New Roman"/>
          <w:szCs w:val="24"/>
        </w:rPr>
        <w:t xml:space="preserve"> </w:t>
      </w:r>
      <w:r>
        <w:rPr>
          <w:rFonts w:cs="Times New Roman"/>
          <w:szCs w:val="24"/>
        </w:rPr>
        <w:t>t</w:t>
      </w:r>
      <w:r w:rsidR="00A42354" w:rsidRPr="008D2DDA">
        <w:rPr>
          <w:rFonts w:cs="Times New Roman"/>
          <w:szCs w:val="24"/>
        </w:rPr>
        <w:t>hese external factors did not play a major role in the motivation of participants when enrolling in the Master</w:t>
      </w:r>
      <w:r w:rsidR="00BB4BCD">
        <w:rPr>
          <w:rFonts w:cs="Times New Roman"/>
          <w:szCs w:val="24"/>
        </w:rPr>
        <w:t>’</w:t>
      </w:r>
      <w:r w:rsidR="00A42354" w:rsidRPr="008D2DDA">
        <w:rPr>
          <w:rFonts w:cs="Times New Roman"/>
          <w:szCs w:val="24"/>
        </w:rPr>
        <w:t xml:space="preserve">s programme at Stellenbosch University. Enrolment was based mostly on internal motivation and individual interest in teaching and learning. </w:t>
      </w:r>
      <w:r w:rsidR="00A42354" w:rsidRPr="008D2DDA">
        <w:rPr>
          <w:rFonts w:eastAsia="Times New Roman" w:cs="Times New Roman"/>
          <w:szCs w:val="24"/>
        </w:rPr>
        <w:t>Students enrolled in the MPhil programme to become better teachers, and not necessarily better researchers or scholars in medical education</w:t>
      </w:r>
      <w:r w:rsidR="00377279">
        <w:rPr>
          <w:rFonts w:eastAsia="Times New Roman" w:cs="Times New Roman"/>
          <w:szCs w:val="24"/>
        </w:rPr>
        <w:t>:</w:t>
      </w:r>
    </w:p>
    <w:p w14:paraId="571D6879" w14:textId="77777777" w:rsidR="00875EC3" w:rsidRPr="008D2DDA" w:rsidRDefault="00875EC3" w:rsidP="00875EC3">
      <w:pPr>
        <w:spacing w:after="0" w:line="240" w:lineRule="auto"/>
        <w:ind w:left="567" w:right="567"/>
        <w:jc w:val="both"/>
        <w:rPr>
          <w:rFonts w:cs="Times New Roman"/>
          <w:szCs w:val="24"/>
        </w:rPr>
      </w:pPr>
    </w:p>
    <w:p w14:paraId="4FC65EE8" w14:textId="6F29D4E4" w:rsidR="00575ED8" w:rsidRDefault="00A42354" w:rsidP="00875EC3">
      <w:pPr>
        <w:spacing w:after="0" w:line="240" w:lineRule="auto"/>
        <w:ind w:left="567" w:right="567"/>
        <w:jc w:val="both"/>
        <w:rPr>
          <w:rFonts w:cs="Times New Roman"/>
          <w:szCs w:val="24"/>
        </w:rPr>
      </w:pPr>
      <w:r w:rsidRPr="008D2DDA">
        <w:rPr>
          <w:rFonts w:cs="Times New Roman"/>
          <w:szCs w:val="24"/>
        </w:rPr>
        <w:t>All my life I enjoyed teaching</w:t>
      </w:r>
      <w:r w:rsidR="00575ED8">
        <w:rPr>
          <w:rFonts w:cs="Times New Roman"/>
          <w:szCs w:val="24"/>
        </w:rPr>
        <w:t xml:space="preserve"> </w:t>
      </w:r>
      <w:r w:rsidRPr="008D2DDA">
        <w:rPr>
          <w:rFonts w:cs="Times New Roman"/>
          <w:szCs w:val="24"/>
        </w:rPr>
        <w:t>…</w:t>
      </w:r>
      <w:r w:rsidR="00575ED8">
        <w:rPr>
          <w:rFonts w:cs="Times New Roman"/>
          <w:szCs w:val="24"/>
        </w:rPr>
        <w:t xml:space="preserve"> </w:t>
      </w:r>
      <w:r w:rsidRPr="008D2DDA">
        <w:rPr>
          <w:rFonts w:cs="Times New Roman"/>
          <w:szCs w:val="24"/>
        </w:rPr>
        <w:t>I wanted to learn more so that my teaching would be better. (Participant 1)</w:t>
      </w:r>
    </w:p>
    <w:p w14:paraId="582D113F" w14:textId="77777777" w:rsidR="00377279" w:rsidRPr="008D2DDA" w:rsidRDefault="00377279" w:rsidP="00875EC3">
      <w:pPr>
        <w:spacing w:after="0" w:line="240" w:lineRule="auto"/>
        <w:ind w:left="567" w:right="567"/>
        <w:jc w:val="both"/>
        <w:rPr>
          <w:rFonts w:cs="Times New Roman"/>
          <w:szCs w:val="24"/>
        </w:rPr>
      </w:pPr>
    </w:p>
    <w:p w14:paraId="432593ED" w14:textId="32D91867" w:rsidR="00A42354" w:rsidRPr="008D2DDA" w:rsidRDefault="00A42354" w:rsidP="00875EC3">
      <w:pPr>
        <w:spacing w:after="0" w:line="240" w:lineRule="auto"/>
        <w:ind w:left="567" w:right="567"/>
        <w:jc w:val="both"/>
        <w:rPr>
          <w:rFonts w:cs="Times New Roman"/>
          <w:szCs w:val="24"/>
        </w:rPr>
      </w:pPr>
      <w:r w:rsidRPr="008D2DDA">
        <w:rPr>
          <w:rFonts w:cs="Times New Roman"/>
          <w:szCs w:val="24"/>
        </w:rPr>
        <w:t>I have always had a passion for education</w:t>
      </w:r>
      <w:r w:rsidR="00575ED8">
        <w:rPr>
          <w:rFonts w:cs="Times New Roman"/>
          <w:szCs w:val="24"/>
        </w:rPr>
        <w:t xml:space="preserve"> </w:t>
      </w:r>
      <w:r w:rsidRPr="008D2DDA">
        <w:rPr>
          <w:rFonts w:cs="Times New Roman"/>
          <w:szCs w:val="24"/>
        </w:rPr>
        <w:t>…</w:t>
      </w:r>
      <w:r w:rsidR="00575ED8">
        <w:rPr>
          <w:rFonts w:cs="Times New Roman"/>
          <w:szCs w:val="24"/>
        </w:rPr>
        <w:t xml:space="preserve"> </w:t>
      </w:r>
      <w:r w:rsidRPr="008D2DDA">
        <w:rPr>
          <w:rFonts w:cs="Times New Roman"/>
          <w:szCs w:val="24"/>
        </w:rPr>
        <w:t>saw that I needed to enhance my skills and bring some more tools to my toolbox to be a master educator. (Participant 9)</w:t>
      </w:r>
    </w:p>
    <w:p w14:paraId="13A8D041" w14:textId="77777777" w:rsidR="00A42354" w:rsidRPr="008D2DDA" w:rsidRDefault="00A42354" w:rsidP="00875EC3">
      <w:pPr>
        <w:spacing w:after="0" w:line="276" w:lineRule="auto"/>
        <w:jc w:val="both"/>
        <w:rPr>
          <w:rFonts w:cs="Times New Roman"/>
          <w:szCs w:val="24"/>
        </w:rPr>
      </w:pPr>
    </w:p>
    <w:p w14:paraId="4E4A0955" w14:textId="4D89FEB5" w:rsidR="00A42354" w:rsidRPr="008D2DDA" w:rsidRDefault="00A42354" w:rsidP="00875EC3">
      <w:pPr>
        <w:spacing w:after="0" w:line="276" w:lineRule="auto"/>
        <w:jc w:val="both"/>
        <w:rPr>
          <w:rFonts w:cs="Times New Roman"/>
          <w:szCs w:val="24"/>
        </w:rPr>
      </w:pPr>
      <w:r w:rsidRPr="008D2DDA">
        <w:rPr>
          <w:rFonts w:cs="Times New Roman"/>
          <w:szCs w:val="24"/>
        </w:rPr>
        <w:t>For some, the MPhil programme was perceived as a means to validate them as health professions educators and enhance their careers</w:t>
      </w:r>
      <w:r w:rsidR="00377279">
        <w:rPr>
          <w:rFonts w:cs="Times New Roman"/>
          <w:szCs w:val="24"/>
        </w:rPr>
        <w:t>:</w:t>
      </w:r>
      <w:r w:rsidRPr="008D2DDA">
        <w:rPr>
          <w:rFonts w:cs="Times New Roman"/>
          <w:szCs w:val="24"/>
        </w:rPr>
        <w:t xml:space="preserve"> </w:t>
      </w:r>
    </w:p>
    <w:p w14:paraId="0954D2CE" w14:textId="77777777" w:rsidR="00875EC3" w:rsidRPr="008D2DDA" w:rsidRDefault="00875EC3" w:rsidP="00875EC3">
      <w:pPr>
        <w:spacing w:after="0" w:line="276" w:lineRule="auto"/>
        <w:jc w:val="both"/>
        <w:rPr>
          <w:rFonts w:cs="Times New Roman"/>
          <w:szCs w:val="24"/>
        </w:rPr>
      </w:pPr>
    </w:p>
    <w:p w14:paraId="1627E2E9" w14:textId="41FD570C" w:rsidR="00A42354" w:rsidRDefault="00A42354" w:rsidP="00875EC3">
      <w:pPr>
        <w:spacing w:after="0" w:line="240" w:lineRule="auto"/>
        <w:ind w:left="567" w:right="567"/>
        <w:jc w:val="both"/>
        <w:rPr>
          <w:rFonts w:cs="Times New Roman"/>
          <w:szCs w:val="24"/>
        </w:rPr>
      </w:pPr>
      <w:r w:rsidRPr="008D2DDA">
        <w:rPr>
          <w:rFonts w:cs="Times New Roman"/>
          <w:szCs w:val="24"/>
        </w:rPr>
        <w:t>The MPhil is important for academic reasons because I need an extra qualification that will enable me to have objective evidence that I am a medical educator</w:t>
      </w:r>
      <w:r w:rsidR="00377279">
        <w:rPr>
          <w:rFonts w:cs="Times New Roman"/>
          <w:szCs w:val="24"/>
        </w:rPr>
        <w:t>.</w:t>
      </w:r>
      <w:r w:rsidRPr="008D2DDA">
        <w:rPr>
          <w:rFonts w:cs="Times New Roman"/>
          <w:szCs w:val="24"/>
        </w:rPr>
        <w:t xml:space="preserve"> (Participant 6)</w:t>
      </w:r>
    </w:p>
    <w:p w14:paraId="37950233" w14:textId="77777777" w:rsidR="00377279" w:rsidRPr="008D2DDA" w:rsidRDefault="00377279" w:rsidP="00875EC3">
      <w:pPr>
        <w:spacing w:after="0" w:line="240" w:lineRule="auto"/>
        <w:ind w:left="567" w:right="567"/>
        <w:jc w:val="both"/>
        <w:rPr>
          <w:rFonts w:cs="Times New Roman"/>
          <w:szCs w:val="24"/>
        </w:rPr>
      </w:pPr>
    </w:p>
    <w:p w14:paraId="1338AF5B" w14:textId="0348C85D" w:rsidR="00A42354" w:rsidRPr="008D2DDA" w:rsidRDefault="00A42354" w:rsidP="00875EC3">
      <w:pPr>
        <w:spacing w:after="0" w:line="240" w:lineRule="auto"/>
        <w:ind w:left="567" w:right="567"/>
        <w:jc w:val="both"/>
        <w:rPr>
          <w:rFonts w:cs="Times New Roman"/>
          <w:szCs w:val="24"/>
        </w:rPr>
      </w:pPr>
      <w:r w:rsidRPr="008D2DDA">
        <w:rPr>
          <w:rFonts w:cs="Times New Roman"/>
          <w:szCs w:val="24"/>
        </w:rPr>
        <w:t>I choose it specifically because I don’t want to be restricted to nursing. This is health sciences education and it’s going to really expand my horizons and my opportunities</w:t>
      </w:r>
      <w:r w:rsidR="00B36BE8">
        <w:rPr>
          <w:rFonts w:cs="Times New Roman"/>
          <w:szCs w:val="24"/>
        </w:rPr>
        <w:t xml:space="preserve"> </w:t>
      </w:r>
      <w:r w:rsidRPr="008D2DDA">
        <w:rPr>
          <w:rFonts w:cs="Times New Roman"/>
          <w:szCs w:val="24"/>
        </w:rPr>
        <w:t>… (Participant 5)</w:t>
      </w:r>
    </w:p>
    <w:p w14:paraId="00ABFE12" w14:textId="77777777" w:rsidR="00A42354" w:rsidRPr="008D2DDA" w:rsidRDefault="00A42354" w:rsidP="00875EC3">
      <w:pPr>
        <w:spacing w:after="0" w:line="276" w:lineRule="auto"/>
        <w:jc w:val="both"/>
        <w:rPr>
          <w:rFonts w:cs="Times New Roman"/>
          <w:szCs w:val="24"/>
        </w:rPr>
      </w:pPr>
    </w:p>
    <w:p w14:paraId="613E9B01" w14:textId="548399AD" w:rsidR="00A42354" w:rsidRPr="008D2DDA" w:rsidRDefault="00A42354" w:rsidP="00875EC3">
      <w:pPr>
        <w:spacing w:after="0" w:line="276" w:lineRule="auto"/>
        <w:jc w:val="both"/>
        <w:rPr>
          <w:rFonts w:cs="Times New Roman"/>
          <w:szCs w:val="24"/>
        </w:rPr>
      </w:pPr>
      <w:r w:rsidRPr="008D2DDA">
        <w:rPr>
          <w:rFonts w:cs="Times New Roman"/>
          <w:szCs w:val="24"/>
        </w:rPr>
        <w:t xml:space="preserve">No participant specifically mentioned </w:t>
      </w:r>
      <w:r w:rsidR="00BD2705">
        <w:rPr>
          <w:rFonts w:eastAsia="Times New Roman" w:cs="Times New Roman"/>
          <w:szCs w:val="24"/>
        </w:rPr>
        <w:t>that</w:t>
      </w:r>
      <w:r w:rsidR="00BD2705" w:rsidRPr="008D2DDA">
        <w:rPr>
          <w:rFonts w:eastAsia="Times New Roman" w:cs="Times New Roman"/>
          <w:szCs w:val="24"/>
        </w:rPr>
        <w:t xml:space="preserve"> </w:t>
      </w:r>
      <w:r w:rsidR="00BD2705">
        <w:rPr>
          <w:rFonts w:eastAsia="Times New Roman" w:cs="Times New Roman"/>
          <w:szCs w:val="24"/>
        </w:rPr>
        <w:t>their motivation for enrolling was</w:t>
      </w:r>
      <w:r w:rsidR="00BD2705" w:rsidRPr="008D2DDA">
        <w:rPr>
          <w:rFonts w:eastAsia="Times New Roman" w:cs="Times New Roman"/>
          <w:szCs w:val="24"/>
        </w:rPr>
        <w:t xml:space="preserve"> </w:t>
      </w:r>
      <w:r w:rsidRPr="008D2DDA">
        <w:rPr>
          <w:rFonts w:cs="Times New Roman"/>
          <w:szCs w:val="24"/>
        </w:rPr>
        <w:t xml:space="preserve">the desire to make a </w:t>
      </w:r>
      <w:r w:rsidRPr="008D2DDA">
        <w:rPr>
          <w:rFonts w:eastAsia="Times New Roman" w:cs="Times New Roman"/>
          <w:szCs w:val="24"/>
        </w:rPr>
        <w:t>scholarly contribution to the body of knowledge in the field of HPE through research</w:t>
      </w:r>
      <w:r w:rsidR="00BD2705">
        <w:rPr>
          <w:rFonts w:eastAsia="Times New Roman" w:cs="Times New Roman"/>
          <w:szCs w:val="24"/>
        </w:rPr>
        <w:t>,</w:t>
      </w:r>
      <w:r w:rsidR="00BD2705" w:rsidRPr="00BD2705">
        <w:rPr>
          <w:rFonts w:eastAsia="Times New Roman" w:cs="Times New Roman"/>
          <w:szCs w:val="24"/>
        </w:rPr>
        <w:t xml:space="preserve"> </w:t>
      </w:r>
      <w:r w:rsidRPr="008D2DDA">
        <w:rPr>
          <w:rFonts w:eastAsia="Times New Roman" w:cs="Times New Roman"/>
          <w:szCs w:val="24"/>
        </w:rPr>
        <w:t xml:space="preserve">or to become a leader in higher education in health sciences on the African continent to address </w:t>
      </w:r>
      <w:r w:rsidRPr="008D2DDA">
        <w:rPr>
          <w:szCs w:val="24"/>
        </w:rPr>
        <w:t>health care priorities, social justice and inequalities (Burch and Reid 2011</w:t>
      </w:r>
      <w:proofErr w:type="gramStart"/>
      <w:r w:rsidRPr="008D2DDA">
        <w:rPr>
          <w:szCs w:val="24"/>
        </w:rPr>
        <w:t>)</w:t>
      </w:r>
      <w:r w:rsidR="00BD2705">
        <w:rPr>
          <w:szCs w:val="24"/>
        </w:rPr>
        <w:t xml:space="preserve">  ̶</w:t>
      </w:r>
      <w:proofErr w:type="gramEnd"/>
      <w:r w:rsidR="00BD2705">
        <w:rPr>
          <w:szCs w:val="24"/>
        </w:rPr>
        <w:t xml:space="preserve">  </w:t>
      </w:r>
      <w:r w:rsidRPr="008D2DDA">
        <w:rPr>
          <w:rFonts w:eastAsia="Times New Roman" w:cs="Times New Roman"/>
          <w:szCs w:val="24"/>
        </w:rPr>
        <w:t xml:space="preserve">even though these are the stated aims of the MPhil in HPE programme at Stellenbosch University (van </w:t>
      </w:r>
      <w:proofErr w:type="spellStart"/>
      <w:r w:rsidRPr="008D2DDA">
        <w:rPr>
          <w:rFonts w:eastAsia="Times New Roman" w:cs="Times New Roman"/>
          <w:szCs w:val="24"/>
        </w:rPr>
        <w:t>Heerden</w:t>
      </w:r>
      <w:proofErr w:type="spellEnd"/>
      <w:r w:rsidRPr="008D2DDA">
        <w:rPr>
          <w:rFonts w:eastAsia="Times New Roman" w:cs="Times New Roman"/>
          <w:szCs w:val="24"/>
        </w:rPr>
        <w:t xml:space="preserve"> 2009).</w:t>
      </w:r>
      <w:r w:rsidRPr="008D2DDA">
        <w:rPr>
          <w:rFonts w:cs="Times New Roman"/>
          <w:szCs w:val="24"/>
        </w:rPr>
        <w:t xml:space="preserve"> </w:t>
      </w:r>
      <w:r w:rsidR="00BD2705">
        <w:rPr>
          <w:rFonts w:eastAsia="Times New Roman" w:cs="Times New Roman"/>
          <w:szCs w:val="24"/>
        </w:rPr>
        <w:t>L</w:t>
      </w:r>
      <w:r w:rsidR="00BD2705" w:rsidRPr="008D2DDA">
        <w:rPr>
          <w:rFonts w:eastAsia="Times New Roman" w:cs="Times New Roman"/>
          <w:szCs w:val="24"/>
        </w:rPr>
        <w:t>ater</w:t>
      </w:r>
      <w:r w:rsidR="00BD2705">
        <w:rPr>
          <w:rFonts w:eastAsia="Times New Roman" w:cs="Times New Roman"/>
          <w:szCs w:val="24"/>
        </w:rPr>
        <w:t>,</w:t>
      </w:r>
      <w:r w:rsidR="00BD2705" w:rsidRPr="008D2DDA">
        <w:rPr>
          <w:rFonts w:eastAsia="Times New Roman" w:cs="Times New Roman"/>
          <w:szCs w:val="24"/>
        </w:rPr>
        <w:t xml:space="preserve"> </w:t>
      </w:r>
      <w:r w:rsidR="00BD2705">
        <w:rPr>
          <w:rFonts w:eastAsia="Times New Roman" w:cs="Times New Roman"/>
          <w:szCs w:val="24"/>
        </w:rPr>
        <w:t>s</w:t>
      </w:r>
      <w:r w:rsidRPr="008D2DDA">
        <w:rPr>
          <w:rFonts w:eastAsia="Times New Roman" w:cs="Times New Roman"/>
          <w:szCs w:val="24"/>
        </w:rPr>
        <w:t xml:space="preserve">ome students even voiced their concern that </w:t>
      </w:r>
      <w:r w:rsidRPr="008D2DDA">
        <w:rPr>
          <w:rFonts w:cs="Times New Roman"/>
          <w:szCs w:val="24"/>
        </w:rPr>
        <w:t xml:space="preserve">they did not feel that the course influenced them </w:t>
      </w:r>
      <w:r w:rsidR="00E527DD" w:rsidRPr="008D2DDA">
        <w:rPr>
          <w:rFonts w:cs="Times New Roman"/>
          <w:szCs w:val="24"/>
        </w:rPr>
        <w:t xml:space="preserve">to </w:t>
      </w:r>
      <w:r w:rsidRPr="008D2DDA">
        <w:rPr>
          <w:rFonts w:cs="Times New Roman"/>
          <w:szCs w:val="24"/>
        </w:rPr>
        <w:t>becom</w:t>
      </w:r>
      <w:r w:rsidR="00E527DD" w:rsidRPr="008D2DDA">
        <w:rPr>
          <w:rFonts w:cs="Times New Roman"/>
          <w:szCs w:val="24"/>
        </w:rPr>
        <w:t>e</w:t>
      </w:r>
      <w:r w:rsidRPr="008D2DDA">
        <w:rPr>
          <w:rFonts w:cs="Times New Roman"/>
          <w:szCs w:val="24"/>
        </w:rPr>
        <w:t xml:space="preserve"> better teachers. </w:t>
      </w:r>
    </w:p>
    <w:p w14:paraId="39CD647C" w14:textId="77777777" w:rsidR="00A42354" w:rsidRPr="008D2DDA" w:rsidRDefault="00A42354" w:rsidP="00875EC3">
      <w:pPr>
        <w:spacing w:after="0" w:line="276" w:lineRule="auto"/>
        <w:jc w:val="both"/>
        <w:rPr>
          <w:rFonts w:cs="Times New Roman"/>
          <w:szCs w:val="24"/>
        </w:rPr>
      </w:pPr>
    </w:p>
    <w:p w14:paraId="1794B64D" w14:textId="29F3B76E" w:rsidR="00A42354" w:rsidRPr="008D2DDA" w:rsidRDefault="00A42354" w:rsidP="00875EC3">
      <w:pPr>
        <w:spacing w:after="0" w:line="276" w:lineRule="auto"/>
        <w:jc w:val="both"/>
        <w:rPr>
          <w:szCs w:val="24"/>
        </w:rPr>
      </w:pPr>
      <w:r w:rsidRPr="008D2DDA">
        <w:rPr>
          <w:rFonts w:eastAsia="Times New Roman" w:cs="Times New Roman"/>
          <w:szCs w:val="24"/>
        </w:rPr>
        <w:t>This may point to a mismatch in the</w:t>
      </w:r>
      <w:r w:rsidR="00A9204D">
        <w:rPr>
          <w:rFonts w:eastAsia="Times New Roman" w:cs="Times New Roman"/>
          <w:szCs w:val="24"/>
        </w:rPr>
        <w:t xml:space="preserve"> </w:t>
      </w:r>
      <w:r w:rsidR="00A9204D" w:rsidRPr="008D2DDA">
        <w:rPr>
          <w:rFonts w:eastAsia="Times New Roman" w:cs="Times New Roman"/>
          <w:szCs w:val="24"/>
        </w:rPr>
        <w:t>alignment</w:t>
      </w:r>
      <w:r w:rsidR="00A9204D">
        <w:rPr>
          <w:rFonts w:eastAsia="Times New Roman" w:cs="Times New Roman"/>
          <w:szCs w:val="24"/>
        </w:rPr>
        <w:t xml:space="preserve"> between </w:t>
      </w:r>
      <w:r w:rsidR="00781842">
        <w:rPr>
          <w:rFonts w:eastAsia="Times New Roman" w:cs="Times New Roman"/>
          <w:szCs w:val="24"/>
        </w:rPr>
        <w:t>M</w:t>
      </w:r>
      <w:r w:rsidRPr="008D2DDA">
        <w:rPr>
          <w:rFonts w:eastAsia="Times New Roman" w:cs="Times New Roman"/>
          <w:szCs w:val="24"/>
        </w:rPr>
        <w:t>aster</w:t>
      </w:r>
      <w:r w:rsidR="00BB4BCD">
        <w:rPr>
          <w:rFonts w:eastAsia="Times New Roman" w:cs="Times New Roman"/>
          <w:szCs w:val="24"/>
        </w:rPr>
        <w:t>’</w:t>
      </w:r>
      <w:r w:rsidRPr="008D2DDA">
        <w:rPr>
          <w:rFonts w:eastAsia="Times New Roman" w:cs="Times New Roman"/>
          <w:szCs w:val="24"/>
        </w:rPr>
        <w:t>s program</w:t>
      </w:r>
      <w:r w:rsidR="00E51C17" w:rsidRPr="008D2DDA">
        <w:rPr>
          <w:rFonts w:eastAsia="Times New Roman" w:cs="Times New Roman"/>
          <w:szCs w:val="24"/>
        </w:rPr>
        <w:t>me</w:t>
      </w:r>
      <w:r w:rsidRPr="008D2DDA">
        <w:rPr>
          <w:rFonts w:eastAsia="Times New Roman" w:cs="Times New Roman"/>
          <w:szCs w:val="24"/>
        </w:rPr>
        <w:t>s and individuals’ career</w:t>
      </w:r>
      <w:r w:rsidR="00A9204D">
        <w:rPr>
          <w:rFonts w:eastAsia="Times New Roman" w:cs="Times New Roman"/>
          <w:szCs w:val="24"/>
        </w:rPr>
        <w:t xml:space="preserve"> </w:t>
      </w:r>
      <w:r w:rsidRPr="008D2DDA">
        <w:rPr>
          <w:rFonts w:eastAsia="Times New Roman" w:cs="Times New Roman"/>
          <w:szCs w:val="24"/>
        </w:rPr>
        <w:t>goal</w:t>
      </w:r>
      <w:r w:rsidR="00A9204D">
        <w:rPr>
          <w:rFonts w:eastAsia="Times New Roman" w:cs="Times New Roman"/>
          <w:szCs w:val="24"/>
        </w:rPr>
        <w:t xml:space="preserve">s, </w:t>
      </w:r>
      <w:r w:rsidRPr="008D2DDA">
        <w:rPr>
          <w:rFonts w:eastAsia="Times New Roman" w:cs="Times New Roman"/>
          <w:szCs w:val="24"/>
        </w:rPr>
        <w:t>and</w:t>
      </w:r>
      <w:r w:rsidR="00A9204D">
        <w:rPr>
          <w:rFonts w:eastAsia="Times New Roman" w:cs="Times New Roman"/>
          <w:szCs w:val="24"/>
        </w:rPr>
        <w:t xml:space="preserve"> this </w:t>
      </w:r>
      <w:r w:rsidRPr="008D2DDA">
        <w:rPr>
          <w:rFonts w:eastAsia="Times New Roman" w:cs="Times New Roman"/>
          <w:szCs w:val="24"/>
        </w:rPr>
        <w:t xml:space="preserve">has </w:t>
      </w:r>
      <w:r w:rsidRPr="008D2DDA">
        <w:rPr>
          <w:rFonts w:cs="Times New Roman"/>
          <w:szCs w:val="24"/>
        </w:rPr>
        <w:t>implications for the recruitment and training of those choosing to be academic health professions educator</w:t>
      </w:r>
      <w:r w:rsidR="00A9204D">
        <w:rPr>
          <w:rFonts w:cs="Times New Roman"/>
          <w:szCs w:val="24"/>
        </w:rPr>
        <w:t>s</w:t>
      </w:r>
      <w:r w:rsidRPr="008D2DDA">
        <w:rPr>
          <w:rFonts w:cs="Times New Roman"/>
          <w:szCs w:val="24"/>
        </w:rPr>
        <w:t xml:space="preserve"> in research-intensive environment</w:t>
      </w:r>
      <w:r w:rsidR="00A9204D">
        <w:rPr>
          <w:rFonts w:cs="Times New Roman"/>
          <w:szCs w:val="24"/>
        </w:rPr>
        <w:t>s</w:t>
      </w:r>
      <w:r w:rsidRPr="008D2DDA">
        <w:rPr>
          <w:rFonts w:cs="Times New Roman"/>
          <w:szCs w:val="24"/>
        </w:rPr>
        <w:t xml:space="preserve"> (Bartle </w:t>
      </w:r>
      <w:r w:rsidR="00A9204D">
        <w:rPr>
          <w:rFonts w:cs="Times New Roman"/>
          <w:szCs w:val="24"/>
        </w:rPr>
        <w:t>&amp;</w:t>
      </w:r>
      <w:r w:rsidR="00A9204D" w:rsidRPr="008D2DDA">
        <w:rPr>
          <w:rFonts w:cs="Times New Roman"/>
          <w:szCs w:val="24"/>
        </w:rPr>
        <w:t xml:space="preserve"> </w:t>
      </w:r>
      <w:proofErr w:type="spellStart"/>
      <w:r w:rsidRPr="008D2DDA">
        <w:rPr>
          <w:rFonts w:cs="Times New Roman"/>
          <w:szCs w:val="24"/>
        </w:rPr>
        <w:t>Thistlethwaite</w:t>
      </w:r>
      <w:proofErr w:type="spellEnd"/>
      <w:r w:rsidRPr="008D2DDA">
        <w:rPr>
          <w:rFonts w:cs="Times New Roman"/>
          <w:szCs w:val="24"/>
        </w:rPr>
        <w:t xml:space="preserve"> 2014). These findings further suggest that the </w:t>
      </w:r>
      <w:proofErr w:type="spellStart"/>
      <w:r w:rsidRPr="008D2DDA">
        <w:rPr>
          <w:rFonts w:cs="Times New Roman"/>
          <w:szCs w:val="24"/>
        </w:rPr>
        <w:t>professionalisation</w:t>
      </w:r>
      <w:proofErr w:type="spellEnd"/>
      <w:r w:rsidRPr="008D2DDA">
        <w:rPr>
          <w:rFonts w:cs="Times New Roman"/>
          <w:szCs w:val="24"/>
        </w:rPr>
        <w:t xml:space="preserve"> of medical education may still not be well</w:t>
      </w:r>
      <w:r w:rsidR="00397528">
        <w:rPr>
          <w:rFonts w:cs="Times New Roman"/>
          <w:szCs w:val="24"/>
        </w:rPr>
        <w:t xml:space="preserve"> </w:t>
      </w:r>
      <w:r w:rsidRPr="008D2DDA">
        <w:rPr>
          <w:rFonts w:cs="Times New Roman"/>
          <w:szCs w:val="24"/>
        </w:rPr>
        <w:t>established in Africa</w:t>
      </w:r>
      <w:r w:rsidR="00E837F0" w:rsidRPr="008D2DDA">
        <w:rPr>
          <w:rFonts w:cs="Times New Roman"/>
          <w:szCs w:val="24"/>
        </w:rPr>
        <w:t>,</w:t>
      </w:r>
      <w:r w:rsidRPr="008D2DDA">
        <w:rPr>
          <w:rFonts w:cs="Times New Roman"/>
          <w:szCs w:val="24"/>
        </w:rPr>
        <w:t xml:space="preserve"> </w:t>
      </w:r>
      <w:r w:rsidR="00A9204D">
        <w:rPr>
          <w:rFonts w:cs="Times New Roman"/>
          <w:szCs w:val="24"/>
        </w:rPr>
        <w:t>as</w:t>
      </w:r>
      <w:r w:rsidR="00A9204D" w:rsidRPr="008D2DDA">
        <w:rPr>
          <w:rFonts w:cs="Times New Roman"/>
          <w:szCs w:val="24"/>
        </w:rPr>
        <w:t xml:space="preserve"> </w:t>
      </w:r>
      <w:r w:rsidRPr="008D2DDA">
        <w:rPr>
          <w:rFonts w:cs="Times New Roman"/>
          <w:szCs w:val="24"/>
        </w:rPr>
        <w:t>the understanding of a health professions educator</w:t>
      </w:r>
      <w:r w:rsidR="00E837F0" w:rsidRPr="008D2DDA">
        <w:rPr>
          <w:rFonts w:cs="Times New Roman"/>
          <w:szCs w:val="24"/>
        </w:rPr>
        <w:t>’</w:t>
      </w:r>
      <w:r w:rsidRPr="008D2DDA">
        <w:rPr>
          <w:rFonts w:cs="Times New Roman"/>
          <w:szCs w:val="24"/>
        </w:rPr>
        <w:t xml:space="preserve">s scholarly role and contribution to healthcare </w:t>
      </w:r>
      <w:r w:rsidR="00A9204D">
        <w:rPr>
          <w:rFonts w:cs="Times New Roman"/>
          <w:szCs w:val="24"/>
        </w:rPr>
        <w:t xml:space="preserve">is </w:t>
      </w:r>
      <w:r w:rsidRPr="008D2DDA">
        <w:rPr>
          <w:szCs w:val="24"/>
        </w:rPr>
        <w:t xml:space="preserve">far less developed than in other disciplines. </w:t>
      </w:r>
    </w:p>
    <w:p w14:paraId="40581499" w14:textId="77777777" w:rsidR="0076314B" w:rsidRDefault="0076314B" w:rsidP="00875EC3">
      <w:pPr>
        <w:spacing w:after="0" w:line="276" w:lineRule="auto"/>
        <w:jc w:val="both"/>
        <w:rPr>
          <w:rFonts w:cs="Times New Roman"/>
          <w:b/>
          <w:color w:val="7B7B7B" w:themeColor="accent3" w:themeShade="BF"/>
          <w:sz w:val="24"/>
          <w:szCs w:val="24"/>
        </w:rPr>
      </w:pPr>
    </w:p>
    <w:p w14:paraId="2FB7215C" w14:textId="77777777" w:rsidR="00A616D0" w:rsidRDefault="00A616D0" w:rsidP="00875EC3">
      <w:pPr>
        <w:spacing w:after="0" w:line="276" w:lineRule="auto"/>
        <w:jc w:val="both"/>
        <w:rPr>
          <w:rFonts w:cs="Times New Roman"/>
          <w:b/>
          <w:color w:val="7B7B7B" w:themeColor="accent3" w:themeShade="BF"/>
          <w:sz w:val="24"/>
          <w:szCs w:val="24"/>
        </w:rPr>
      </w:pPr>
    </w:p>
    <w:p w14:paraId="25AAAA7A" w14:textId="77777777" w:rsidR="00A42354" w:rsidRPr="008B2A40" w:rsidRDefault="00A42354" w:rsidP="00F43DE9">
      <w:pPr>
        <w:spacing w:line="276"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lastRenderedPageBreak/>
        <w:t>Transitions in becoming Scholars of Teaching &amp; Learning</w:t>
      </w:r>
    </w:p>
    <w:p w14:paraId="1F5ABFF9" w14:textId="7F5D4646" w:rsidR="00A42354" w:rsidRPr="00214EB2" w:rsidRDefault="00A42354" w:rsidP="00875EC3">
      <w:pPr>
        <w:spacing w:after="0" w:line="276" w:lineRule="auto"/>
        <w:jc w:val="both"/>
        <w:rPr>
          <w:szCs w:val="24"/>
        </w:rPr>
      </w:pPr>
      <w:r w:rsidRPr="00214EB2">
        <w:rPr>
          <w:szCs w:val="24"/>
        </w:rPr>
        <w:t xml:space="preserve">It has been argued that clinician-scientists, professionals who feel at home in both worlds, are critical for healthcare as they help to link science and care. Clinician-scientists can help to connect different disciplines by signalling and addressing clinically relevant research questions and by translating research into clinical practice (Morel </w:t>
      </w:r>
      <w:r w:rsidR="00B3103A" w:rsidRPr="00214EB2">
        <w:rPr>
          <w:szCs w:val="24"/>
        </w:rPr>
        <w:t xml:space="preserve">&amp; </w:t>
      </w:r>
      <w:r w:rsidRPr="00214EB2">
        <w:rPr>
          <w:szCs w:val="24"/>
        </w:rPr>
        <w:t xml:space="preserve">Ross 2014; </w:t>
      </w:r>
      <w:proofErr w:type="spellStart"/>
      <w:r w:rsidRPr="00214EB2">
        <w:rPr>
          <w:szCs w:val="24"/>
        </w:rPr>
        <w:t>Yanos</w:t>
      </w:r>
      <w:proofErr w:type="spellEnd"/>
      <w:r w:rsidRPr="00214EB2">
        <w:rPr>
          <w:szCs w:val="24"/>
        </w:rPr>
        <w:t xml:space="preserve"> </w:t>
      </w:r>
      <w:r w:rsidR="00B3103A" w:rsidRPr="00214EB2">
        <w:rPr>
          <w:szCs w:val="24"/>
        </w:rPr>
        <w:t xml:space="preserve">&amp; </w:t>
      </w:r>
      <w:proofErr w:type="spellStart"/>
      <w:r w:rsidRPr="00214EB2">
        <w:rPr>
          <w:szCs w:val="24"/>
        </w:rPr>
        <w:t>Ziedonis</w:t>
      </w:r>
      <w:proofErr w:type="spellEnd"/>
      <w:r w:rsidRPr="00214EB2">
        <w:rPr>
          <w:szCs w:val="24"/>
        </w:rPr>
        <w:t xml:space="preserve"> 2006). The same is true for scholars of both a medical discipline and teaching and learning. Clinician-educators move between different professional practices and are expected to work at the intersection of epistemologically, socially and culturally different contexts. They are asked to transfer specialised knowledge from one context to another, synthesise different information sources, introduce ideas from one setting to another, and support cooperation between groups (Long</w:t>
      </w:r>
      <w:r w:rsidR="00B3103A" w:rsidRPr="00214EB2">
        <w:rPr>
          <w:szCs w:val="24"/>
        </w:rPr>
        <w:t xml:space="preserve"> </w:t>
      </w:r>
      <w:r w:rsidR="00B3103A" w:rsidRPr="00214EB2">
        <w:rPr>
          <w:i/>
          <w:szCs w:val="24"/>
        </w:rPr>
        <w:t>e</w:t>
      </w:r>
      <w:r w:rsidRPr="00214EB2">
        <w:rPr>
          <w:i/>
          <w:szCs w:val="24"/>
        </w:rPr>
        <w:t>t al.</w:t>
      </w:r>
      <w:r w:rsidRPr="00214EB2">
        <w:rPr>
          <w:szCs w:val="24"/>
        </w:rPr>
        <w:t xml:space="preserve"> 2013). </w:t>
      </w:r>
      <w:r w:rsidRPr="00214EB2">
        <w:rPr>
          <w:rFonts w:cs="Times New Roman"/>
          <w:szCs w:val="24"/>
        </w:rPr>
        <w:t xml:space="preserve">Our participants reported the need for transitions on many levels in order to become more comfortable in the world of teaching and learning at </w:t>
      </w:r>
      <w:r w:rsidR="00B3103A" w:rsidRPr="00214EB2">
        <w:rPr>
          <w:rFonts w:cs="Times New Roman"/>
          <w:szCs w:val="24"/>
        </w:rPr>
        <w:t>M</w:t>
      </w:r>
      <w:r w:rsidRPr="00214EB2">
        <w:rPr>
          <w:rFonts w:cs="Times New Roman"/>
          <w:szCs w:val="24"/>
        </w:rPr>
        <w:t>aster</w:t>
      </w:r>
      <w:r w:rsidR="00BB4BCD" w:rsidRPr="00214EB2">
        <w:rPr>
          <w:rFonts w:cs="Times New Roman"/>
          <w:szCs w:val="24"/>
        </w:rPr>
        <w:t>’</w:t>
      </w:r>
      <w:r w:rsidRPr="00214EB2">
        <w:rPr>
          <w:rFonts w:cs="Times New Roman"/>
          <w:szCs w:val="24"/>
        </w:rPr>
        <w:t>s level. This transition required of them to become familiar with different worldviews or paradigms and different forms of ‘meaning making.’</w:t>
      </w:r>
    </w:p>
    <w:p w14:paraId="77836907" w14:textId="77777777" w:rsidR="00A42354" w:rsidRPr="00214EB2" w:rsidRDefault="00A42354" w:rsidP="00875EC3">
      <w:pPr>
        <w:spacing w:after="0" w:line="276" w:lineRule="auto"/>
        <w:jc w:val="both"/>
        <w:rPr>
          <w:rFonts w:cs="Times New Roman"/>
          <w:i/>
          <w:szCs w:val="24"/>
        </w:rPr>
      </w:pPr>
    </w:p>
    <w:p w14:paraId="07612CE1" w14:textId="080861E0" w:rsidR="00A42354" w:rsidRPr="00214EB2" w:rsidRDefault="00A42354" w:rsidP="00875EC3">
      <w:pPr>
        <w:spacing w:after="0" w:line="276" w:lineRule="auto"/>
        <w:jc w:val="both"/>
        <w:rPr>
          <w:rFonts w:cs="Times New Roman"/>
          <w:szCs w:val="24"/>
        </w:rPr>
      </w:pPr>
      <w:r w:rsidRPr="00214EB2">
        <w:rPr>
          <w:rFonts w:cs="Times New Roman"/>
          <w:szCs w:val="24"/>
        </w:rPr>
        <w:t>The fact that the participants</w:t>
      </w:r>
      <w:r w:rsidR="007736B8" w:rsidRPr="00214EB2">
        <w:rPr>
          <w:rFonts w:cs="Times New Roman"/>
          <w:szCs w:val="24"/>
        </w:rPr>
        <w:t xml:space="preserve"> – </w:t>
      </w:r>
      <w:r w:rsidRPr="00214EB2">
        <w:rPr>
          <w:rFonts w:cs="Times New Roman"/>
          <w:szCs w:val="24"/>
        </w:rPr>
        <w:t>as qualified professionals and teachers in their respective fields of medical expertise (experts)</w:t>
      </w:r>
      <w:r w:rsidR="007736B8" w:rsidRPr="00214EB2">
        <w:rPr>
          <w:rFonts w:cs="Times New Roman"/>
          <w:szCs w:val="24"/>
        </w:rPr>
        <w:t xml:space="preserve"> – </w:t>
      </w:r>
      <w:r w:rsidRPr="00214EB2">
        <w:rPr>
          <w:rFonts w:cs="Times New Roman"/>
          <w:szCs w:val="24"/>
        </w:rPr>
        <w:t xml:space="preserve">had to become students (novices) again triggered tensions, but also new insights. </w:t>
      </w:r>
    </w:p>
    <w:p w14:paraId="3603669E" w14:textId="77777777" w:rsidR="00875EC3" w:rsidRPr="00214EB2" w:rsidRDefault="00875EC3" w:rsidP="00875EC3">
      <w:pPr>
        <w:spacing w:after="0" w:line="276" w:lineRule="auto"/>
        <w:jc w:val="both"/>
        <w:rPr>
          <w:rFonts w:cs="Times New Roman"/>
          <w:szCs w:val="24"/>
        </w:rPr>
      </w:pPr>
    </w:p>
    <w:p w14:paraId="3B847BB0" w14:textId="77777777" w:rsidR="00A42354" w:rsidRPr="00214EB2" w:rsidRDefault="00A42354" w:rsidP="00875EC3">
      <w:pPr>
        <w:tabs>
          <w:tab w:val="left" w:pos="1620"/>
        </w:tabs>
        <w:spacing w:after="0" w:line="240" w:lineRule="auto"/>
        <w:ind w:left="567" w:right="567"/>
        <w:jc w:val="both"/>
        <w:rPr>
          <w:rFonts w:cs="Times New Roman"/>
          <w:szCs w:val="24"/>
          <w:lang w:eastAsia="en-ZA"/>
        </w:rPr>
      </w:pPr>
      <w:r w:rsidRPr="00214EB2">
        <w:rPr>
          <w:rFonts w:cs="Times New Roman"/>
          <w:szCs w:val="24"/>
          <w:lang w:eastAsia="en-ZA"/>
        </w:rPr>
        <w:t>…</w:t>
      </w:r>
      <w:r w:rsidR="00875EC3" w:rsidRPr="00214EB2">
        <w:rPr>
          <w:rFonts w:cs="Times New Roman"/>
          <w:szCs w:val="24"/>
          <w:lang w:eastAsia="en-ZA"/>
        </w:rPr>
        <w:t xml:space="preserve"> </w:t>
      </w:r>
      <w:r w:rsidRPr="00214EB2">
        <w:rPr>
          <w:rFonts w:cs="Times New Roman"/>
          <w:szCs w:val="24"/>
          <w:lang w:eastAsia="en-ZA"/>
        </w:rPr>
        <w:t>I had this secret arrogance that it was teaching, I have been doing it for a living</w:t>
      </w:r>
      <w:r w:rsidR="00875EC3" w:rsidRPr="00214EB2">
        <w:rPr>
          <w:rFonts w:cs="Times New Roman"/>
          <w:szCs w:val="24"/>
          <w:lang w:eastAsia="en-ZA"/>
        </w:rPr>
        <w:t xml:space="preserve"> </w:t>
      </w:r>
      <w:r w:rsidRPr="00214EB2">
        <w:rPr>
          <w:rFonts w:cs="Times New Roman"/>
          <w:szCs w:val="24"/>
          <w:lang w:eastAsia="en-ZA"/>
        </w:rPr>
        <w:t>…</w:t>
      </w:r>
      <w:r w:rsidR="00875EC3" w:rsidRPr="00214EB2">
        <w:rPr>
          <w:rFonts w:cs="Times New Roman"/>
          <w:szCs w:val="24"/>
          <w:lang w:eastAsia="en-ZA"/>
        </w:rPr>
        <w:t xml:space="preserve"> </w:t>
      </w:r>
      <w:r w:rsidRPr="00214EB2">
        <w:rPr>
          <w:rFonts w:cs="Times New Roman"/>
          <w:szCs w:val="24"/>
          <w:lang w:eastAsia="en-ZA"/>
        </w:rPr>
        <w:t>(but) it was like teaching a baby how to walk</w:t>
      </w:r>
      <w:r w:rsidR="00875EC3" w:rsidRPr="00214EB2">
        <w:rPr>
          <w:rFonts w:cs="Times New Roman"/>
          <w:szCs w:val="24"/>
          <w:lang w:eastAsia="en-ZA"/>
        </w:rPr>
        <w:t xml:space="preserve"> </w:t>
      </w:r>
      <w:r w:rsidRPr="00214EB2">
        <w:rPr>
          <w:rFonts w:cs="Times New Roman"/>
          <w:szCs w:val="24"/>
          <w:lang w:eastAsia="en-ZA"/>
        </w:rPr>
        <w:t>… (Participant 4)</w:t>
      </w:r>
    </w:p>
    <w:p w14:paraId="6489E2EE" w14:textId="77777777" w:rsidR="00875EC3" w:rsidRPr="00214EB2" w:rsidRDefault="00875EC3" w:rsidP="00875EC3">
      <w:pPr>
        <w:tabs>
          <w:tab w:val="left" w:pos="1620"/>
        </w:tabs>
        <w:spacing w:after="0" w:line="240" w:lineRule="auto"/>
        <w:ind w:left="567" w:right="567"/>
        <w:jc w:val="both"/>
        <w:rPr>
          <w:rFonts w:cs="Times New Roman"/>
          <w:szCs w:val="24"/>
          <w:lang w:eastAsia="en-ZA"/>
        </w:rPr>
      </w:pPr>
    </w:p>
    <w:p w14:paraId="18D3B60E" w14:textId="77777777" w:rsidR="00A42354" w:rsidRPr="00214EB2" w:rsidRDefault="00A42354" w:rsidP="00875EC3">
      <w:pPr>
        <w:spacing w:after="0" w:line="240" w:lineRule="auto"/>
        <w:ind w:left="567" w:right="567"/>
        <w:jc w:val="both"/>
        <w:rPr>
          <w:rFonts w:cs="Times New Roman"/>
          <w:szCs w:val="24"/>
          <w:lang w:eastAsia="en-ZA"/>
        </w:rPr>
      </w:pPr>
      <w:r w:rsidRPr="00214EB2">
        <w:rPr>
          <w:rFonts w:cs="Times New Roman"/>
          <w:szCs w:val="24"/>
          <w:lang w:eastAsia="en-ZA"/>
        </w:rPr>
        <w:t>…</w:t>
      </w:r>
      <w:r w:rsidR="00875EC3" w:rsidRPr="00214EB2">
        <w:rPr>
          <w:rFonts w:cs="Times New Roman"/>
          <w:szCs w:val="24"/>
          <w:lang w:eastAsia="en-ZA"/>
        </w:rPr>
        <w:t xml:space="preserve"> </w:t>
      </w:r>
      <w:r w:rsidRPr="00214EB2">
        <w:rPr>
          <w:rFonts w:cs="Times New Roman"/>
          <w:szCs w:val="24"/>
          <w:lang w:eastAsia="en-ZA"/>
        </w:rPr>
        <w:t>Sometimes the feedback it's there but maybe you don't understand it; you don't know how to move forward. Sometimes it breaks you down</w:t>
      </w:r>
      <w:r w:rsidR="00875EC3" w:rsidRPr="00214EB2">
        <w:rPr>
          <w:rFonts w:cs="Times New Roman"/>
          <w:szCs w:val="24"/>
          <w:lang w:eastAsia="en-ZA"/>
        </w:rPr>
        <w:t xml:space="preserve"> </w:t>
      </w:r>
      <w:r w:rsidRPr="00214EB2">
        <w:rPr>
          <w:rFonts w:cs="Times New Roman"/>
          <w:szCs w:val="24"/>
          <w:lang w:eastAsia="en-ZA"/>
        </w:rPr>
        <w:t>… (Participant 1)</w:t>
      </w:r>
    </w:p>
    <w:p w14:paraId="0CFBF8A7" w14:textId="77777777" w:rsidR="00875EC3" w:rsidRPr="00214EB2" w:rsidRDefault="00875EC3" w:rsidP="00875EC3">
      <w:pPr>
        <w:spacing w:after="0" w:line="240" w:lineRule="auto"/>
        <w:ind w:left="567" w:right="567"/>
        <w:jc w:val="both"/>
        <w:rPr>
          <w:rFonts w:cs="Times New Roman"/>
          <w:szCs w:val="24"/>
          <w:lang w:eastAsia="en-ZA"/>
        </w:rPr>
      </w:pPr>
    </w:p>
    <w:p w14:paraId="397ECFAC" w14:textId="77777777" w:rsidR="00A42354" w:rsidRPr="00214EB2" w:rsidRDefault="00A42354" w:rsidP="00875EC3">
      <w:pPr>
        <w:tabs>
          <w:tab w:val="left" w:pos="1620"/>
        </w:tabs>
        <w:spacing w:after="0" w:line="240" w:lineRule="auto"/>
        <w:ind w:left="567" w:right="567"/>
        <w:jc w:val="both"/>
        <w:rPr>
          <w:rFonts w:cs="Times New Roman"/>
          <w:szCs w:val="24"/>
          <w:lang w:eastAsia="en-ZA"/>
        </w:rPr>
      </w:pPr>
      <w:r w:rsidRPr="00214EB2">
        <w:rPr>
          <w:rFonts w:cs="Times New Roman"/>
          <w:szCs w:val="24"/>
          <w:lang w:eastAsia="en-ZA"/>
        </w:rPr>
        <w:t>I had one module I had to redo it, so I said ok I’ll do it better this time. And actually they told me I get 50%. I was so angry I said - why should I continue? Then I realise that we give our students 50%; I never realised how painful it was! (Participant 5)</w:t>
      </w:r>
    </w:p>
    <w:p w14:paraId="50F1CB61" w14:textId="77777777" w:rsidR="00A42354" w:rsidRPr="00214EB2" w:rsidRDefault="00A42354" w:rsidP="00875EC3">
      <w:pPr>
        <w:spacing w:after="0" w:line="276" w:lineRule="auto"/>
        <w:jc w:val="both"/>
        <w:rPr>
          <w:rFonts w:cs="Times New Roman"/>
          <w:szCs w:val="24"/>
        </w:rPr>
      </w:pPr>
    </w:p>
    <w:p w14:paraId="67143688" w14:textId="7EA6A4CE" w:rsidR="00A42354" w:rsidRPr="00214EB2" w:rsidRDefault="00A42354" w:rsidP="00875EC3">
      <w:pPr>
        <w:spacing w:after="0" w:line="276" w:lineRule="auto"/>
        <w:jc w:val="both"/>
        <w:rPr>
          <w:rFonts w:cs="Times New Roman"/>
          <w:szCs w:val="24"/>
        </w:rPr>
      </w:pPr>
      <w:r w:rsidRPr="00214EB2">
        <w:rPr>
          <w:rFonts w:cs="Times New Roman"/>
          <w:szCs w:val="24"/>
        </w:rPr>
        <w:t>The Master</w:t>
      </w:r>
      <w:r w:rsidR="00BB4BCD" w:rsidRPr="00214EB2">
        <w:rPr>
          <w:rFonts w:cs="Times New Roman"/>
          <w:szCs w:val="24"/>
        </w:rPr>
        <w:t>’</w:t>
      </w:r>
      <w:r w:rsidRPr="00214EB2">
        <w:rPr>
          <w:rFonts w:cs="Times New Roman"/>
          <w:szCs w:val="24"/>
        </w:rPr>
        <w:t>s programme is offered as a part time course over two years. Competing responsibilities, limited time, and high workload were reported as major challenges for students, complicating the process of transition. By the beginning of the second year, three students had already decided to either stop or extend their time of study. A fourth student did not complete the course work or research in the second year.</w:t>
      </w:r>
      <w:r w:rsidR="006A1392" w:rsidRPr="00214EB2">
        <w:rPr>
          <w:rFonts w:cs="Times New Roman"/>
          <w:szCs w:val="24"/>
        </w:rPr>
        <w:t xml:space="preserve"> </w:t>
      </w:r>
    </w:p>
    <w:p w14:paraId="0D7CE7A3" w14:textId="77777777" w:rsidR="006A1392" w:rsidRPr="00214EB2" w:rsidRDefault="006A1392" w:rsidP="00875EC3">
      <w:pPr>
        <w:spacing w:after="0" w:line="276" w:lineRule="auto"/>
        <w:jc w:val="both"/>
        <w:rPr>
          <w:rFonts w:cs="Times New Roman"/>
          <w:szCs w:val="24"/>
        </w:rPr>
      </w:pPr>
    </w:p>
    <w:p w14:paraId="0BCEFEBB" w14:textId="449F8692" w:rsidR="00A42354" w:rsidRPr="00214EB2" w:rsidRDefault="00A42354" w:rsidP="006A1392">
      <w:pPr>
        <w:spacing w:after="0" w:line="240" w:lineRule="auto"/>
        <w:ind w:left="567" w:right="567"/>
        <w:jc w:val="both"/>
        <w:rPr>
          <w:rFonts w:cs="Times New Roman"/>
          <w:szCs w:val="24"/>
        </w:rPr>
      </w:pPr>
      <w:r w:rsidRPr="00214EB2">
        <w:rPr>
          <w:rFonts w:cs="Times New Roman"/>
          <w:szCs w:val="24"/>
        </w:rPr>
        <w:t>I work, I have a full</w:t>
      </w:r>
      <w:r w:rsidR="00CC3C7B" w:rsidRPr="00214EB2">
        <w:rPr>
          <w:rFonts w:cs="Times New Roman"/>
          <w:szCs w:val="24"/>
        </w:rPr>
        <w:t>-</w:t>
      </w:r>
      <w:r w:rsidRPr="00214EB2">
        <w:rPr>
          <w:rFonts w:cs="Times New Roman"/>
          <w:szCs w:val="24"/>
        </w:rPr>
        <w:t>time job, and the workload is quite tiresome. I have to work out a strategy to make sure I don’t sacrifice either one of these. (Participant 5)</w:t>
      </w:r>
    </w:p>
    <w:p w14:paraId="1F0F0D59" w14:textId="77777777" w:rsidR="00A42354" w:rsidRPr="00214EB2" w:rsidRDefault="00A42354" w:rsidP="00875EC3">
      <w:pPr>
        <w:spacing w:after="0" w:line="276" w:lineRule="auto"/>
        <w:jc w:val="both"/>
        <w:rPr>
          <w:rFonts w:cs="Times New Roman"/>
          <w:szCs w:val="24"/>
        </w:rPr>
      </w:pPr>
    </w:p>
    <w:p w14:paraId="1F7FD8C4" w14:textId="36FA71B8" w:rsidR="00A42354" w:rsidRPr="00214EB2" w:rsidRDefault="00A42354" w:rsidP="00875EC3">
      <w:pPr>
        <w:spacing w:after="0" w:line="276" w:lineRule="auto"/>
        <w:jc w:val="both"/>
        <w:rPr>
          <w:rFonts w:cs="Times New Roman"/>
          <w:szCs w:val="24"/>
        </w:rPr>
      </w:pPr>
      <w:r w:rsidRPr="00214EB2">
        <w:rPr>
          <w:rFonts w:cs="Times New Roman"/>
          <w:szCs w:val="24"/>
        </w:rPr>
        <w:t>Whilst participants correctly predicted difficulties with competing responsibilities and time management; the transition from health sciences to the educational paradigm came with more dissonance and discomfort than expected. The need to develop familiarity with the specific discourse of educational scholarship with the required academic writing skills to complete modular assignments were challenging for all</w:t>
      </w:r>
      <w:r w:rsidR="008C3F99" w:rsidRPr="00214EB2">
        <w:rPr>
          <w:rFonts w:cs="Times New Roman"/>
          <w:szCs w:val="24"/>
        </w:rPr>
        <w:t>:</w:t>
      </w:r>
    </w:p>
    <w:p w14:paraId="06AB8AFB" w14:textId="77777777" w:rsidR="006A1392" w:rsidRPr="00214EB2" w:rsidRDefault="006A1392" w:rsidP="00875EC3">
      <w:pPr>
        <w:spacing w:after="0" w:line="276" w:lineRule="auto"/>
        <w:jc w:val="both"/>
        <w:rPr>
          <w:rFonts w:cs="Times New Roman"/>
          <w:sz w:val="24"/>
          <w:szCs w:val="24"/>
        </w:rPr>
      </w:pPr>
    </w:p>
    <w:p w14:paraId="7DFF865D" w14:textId="77777777" w:rsidR="00A42354" w:rsidRPr="00214EB2" w:rsidRDefault="00A42354" w:rsidP="006A1392">
      <w:pPr>
        <w:spacing w:after="0" w:line="240" w:lineRule="auto"/>
        <w:ind w:left="567" w:right="567"/>
        <w:jc w:val="both"/>
        <w:rPr>
          <w:rFonts w:cs="Times New Roman"/>
          <w:szCs w:val="24"/>
          <w:lang w:eastAsia="en-ZA"/>
        </w:rPr>
      </w:pPr>
      <w:r w:rsidRPr="00214EB2">
        <w:rPr>
          <w:rFonts w:cs="Times New Roman"/>
          <w:szCs w:val="24"/>
          <w:lang w:eastAsia="en-ZA"/>
        </w:rPr>
        <w:t>…</w:t>
      </w:r>
      <w:r w:rsidR="006A1392" w:rsidRPr="00214EB2">
        <w:rPr>
          <w:rFonts w:cs="Times New Roman"/>
          <w:szCs w:val="24"/>
          <w:lang w:eastAsia="en-ZA"/>
        </w:rPr>
        <w:t xml:space="preserve"> </w:t>
      </w:r>
      <w:r w:rsidRPr="00214EB2">
        <w:rPr>
          <w:rFonts w:cs="Times New Roman"/>
          <w:szCs w:val="24"/>
          <w:lang w:eastAsia="en-ZA"/>
        </w:rPr>
        <w:t>It’s a new language that I had to learn</w:t>
      </w:r>
      <w:r w:rsidR="006A1392" w:rsidRPr="00214EB2">
        <w:rPr>
          <w:rFonts w:cs="Times New Roman"/>
          <w:szCs w:val="24"/>
          <w:lang w:eastAsia="en-ZA"/>
        </w:rPr>
        <w:t xml:space="preserve"> </w:t>
      </w:r>
      <w:r w:rsidRPr="00214EB2">
        <w:rPr>
          <w:rFonts w:cs="Times New Roman"/>
          <w:szCs w:val="24"/>
          <w:lang w:eastAsia="en-ZA"/>
        </w:rPr>
        <w:t>…</w:t>
      </w:r>
      <w:r w:rsidR="006A1392" w:rsidRPr="00214EB2">
        <w:rPr>
          <w:rFonts w:cs="Times New Roman"/>
          <w:szCs w:val="24"/>
          <w:lang w:eastAsia="en-ZA"/>
        </w:rPr>
        <w:t xml:space="preserve"> </w:t>
      </w:r>
      <w:r w:rsidRPr="00214EB2">
        <w:rPr>
          <w:rFonts w:cs="Times New Roman"/>
          <w:szCs w:val="24"/>
          <w:lang w:eastAsia="en-ZA"/>
        </w:rPr>
        <w:t>there’s a terminology that I was not used to coming from a medical background</w:t>
      </w:r>
      <w:r w:rsidR="006A1392" w:rsidRPr="00214EB2">
        <w:rPr>
          <w:rFonts w:cs="Times New Roman"/>
          <w:szCs w:val="24"/>
          <w:lang w:eastAsia="en-ZA"/>
        </w:rPr>
        <w:t xml:space="preserve"> </w:t>
      </w:r>
      <w:r w:rsidRPr="00214EB2">
        <w:rPr>
          <w:rFonts w:cs="Times New Roman"/>
          <w:szCs w:val="24"/>
          <w:lang w:eastAsia="en-ZA"/>
        </w:rPr>
        <w:t>… (Participant 2)</w:t>
      </w:r>
    </w:p>
    <w:p w14:paraId="4ED28D0E" w14:textId="77777777" w:rsidR="006A1392" w:rsidRPr="008D2DDA" w:rsidRDefault="006A1392" w:rsidP="006A1392">
      <w:pPr>
        <w:spacing w:after="0" w:line="240" w:lineRule="auto"/>
        <w:ind w:left="567" w:right="567"/>
        <w:jc w:val="both"/>
        <w:rPr>
          <w:rFonts w:cs="Times New Roman"/>
          <w:szCs w:val="24"/>
          <w:lang w:eastAsia="en-ZA"/>
        </w:rPr>
      </w:pPr>
    </w:p>
    <w:p w14:paraId="7E7A21E2" w14:textId="71452043" w:rsidR="00A42354" w:rsidRPr="00214EB2" w:rsidRDefault="00A42354" w:rsidP="006A1392">
      <w:pPr>
        <w:tabs>
          <w:tab w:val="left" w:pos="1620"/>
        </w:tabs>
        <w:spacing w:after="0" w:line="240" w:lineRule="auto"/>
        <w:ind w:left="567" w:right="567"/>
        <w:jc w:val="both"/>
        <w:rPr>
          <w:rFonts w:cs="Times New Roman"/>
          <w:szCs w:val="24"/>
          <w:lang w:eastAsia="en-ZA"/>
        </w:rPr>
      </w:pPr>
      <w:r w:rsidRPr="00214EB2">
        <w:rPr>
          <w:rFonts w:cs="Times New Roman"/>
          <w:szCs w:val="24"/>
          <w:lang w:eastAsia="en-ZA"/>
        </w:rPr>
        <w:lastRenderedPageBreak/>
        <w:t>I was coming into a field about which I knew that I should expect new things, but</w:t>
      </w:r>
      <w:r w:rsidR="006A1392" w:rsidRPr="00214EB2">
        <w:rPr>
          <w:rFonts w:cs="Times New Roman"/>
          <w:szCs w:val="24"/>
          <w:lang w:eastAsia="en-ZA"/>
        </w:rPr>
        <w:t xml:space="preserve"> </w:t>
      </w:r>
      <w:r w:rsidRPr="00214EB2">
        <w:rPr>
          <w:rFonts w:cs="Times New Roman"/>
          <w:szCs w:val="24"/>
          <w:lang w:eastAsia="en-ZA"/>
        </w:rPr>
        <w:t>…</w:t>
      </w:r>
      <w:r w:rsidR="006A1392" w:rsidRPr="00214EB2">
        <w:rPr>
          <w:rFonts w:cs="Times New Roman"/>
          <w:szCs w:val="24"/>
          <w:lang w:eastAsia="en-ZA"/>
        </w:rPr>
        <w:t xml:space="preserve"> </w:t>
      </w:r>
      <w:r w:rsidRPr="00214EB2">
        <w:rPr>
          <w:rFonts w:cs="Times New Roman"/>
          <w:szCs w:val="24"/>
          <w:lang w:eastAsia="en-ZA"/>
        </w:rPr>
        <w:t>It was the shock of my life; I was totally in a new field. I didn’t expect that… (Participant 4)</w:t>
      </w:r>
    </w:p>
    <w:p w14:paraId="2E72C61A" w14:textId="77777777" w:rsidR="006A1392" w:rsidRPr="00214EB2" w:rsidRDefault="006A1392" w:rsidP="006A1392">
      <w:pPr>
        <w:tabs>
          <w:tab w:val="left" w:pos="1620"/>
        </w:tabs>
        <w:spacing w:after="0" w:line="240" w:lineRule="auto"/>
        <w:ind w:left="567" w:right="567"/>
        <w:jc w:val="both"/>
        <w:rPr>
          <w:rFonts w:cs="Times New Roman"/>
          <w:szCs w:val="24"/>
          <w:lang w:eastAsia="en-ZA"/>
        </w:rPr>
      </w:pPr>
    </w:p>
    <w:p w14:paraId="0426959C" w14:textId="2A951E67" w:rsidR="00A42354" w:rsidRPr="00214EB2" w:rsidRDefault="00A42354" w:rsidP="006A1392">
      <w:pPr>
        <w:spacing w:after="0" w:line="240" w:lineRule="auto"/>
        <w:ind w:left="567" w:right="567"/>
        <w:jc w:val="both"/>
        <w:rPr>
          <w:rFonts w:cs="Times New Roman"/>
          <w:szCs w:val="24"/>
          <w:lang w:eastAsia="en-ZA"/>
        </w:rPr>
      </w:pPr>
      <w:r w:rsidRPr="00214EB2">
        <w:rPr>
          <w:rFonts w:cs="Times New Roman"/>
          <w:szCs w:val="24"/>
          <w:lang w:eastAsia="en-ZA"/>
        </w:rPr>
        <w:t>…</w:t>
      </w:r>
      <w:r w:rsidR="006A1392" w:rsidRPr="00214EB2">
        <w:rPr>
          <w:rFonts w:cs="Times New Roman"/>
          <w:szCs w:val="24"/>
          <w:lang w:eastAsia="en-ZA"/>
        </w:rPr>
        <w:t xml:space="preserve"> </w:t>
      </w:r>
      <w:proofErr w:type="gramStart"/>
      <w:r w:rsidRPr="00214EB2">
        <w:rPr>
          <w:rFonts w:cs="Times New Roman"/>
          <w:szCs w:val="24"/>
          <w:lang w:eastAsia="en-ZA"/>
        </w:rPr>
        <w:t>writing</w:t>
      </w:r>
      <w:proofErr w:type="gramEnd"/>
      <w:r w:rsidRPr="00214EB2">
        <w:rPr>
          <w:rFonts w:cs="Times New Roman"/>
          <w:szCs w:val="24"/>
          <w:lang w:eastAsia="en-ZA"/>
        </w:rPr>
        <w:t xml:space="preserve"> itself is also a challenge</w:t>
      </w:r>
      <w:r w:rsidR="0048591A" w:rsidRPr="00214EB2">
        <w:rPr>
          <w:rFonts w:cs="Times New Roman"/>
          <w:szCs w:val="24"/>
          <w:lang w:eastAsia="en-ZA"/>
        </w:rPr>
        <w:t xml:space="preserve"> </w:t>
      </w:r>
      <w:r w:rsidRPr="00214EB2">
        <w:rPr>
          <w:rFonts w:cs="Times New Roman"/>
          <w:szCs w:val="24"/>
          <w:lang w:eastAsia="en-ZA"/>
        </w:rPr>
        <w:t>… you need to write something that is</w:t>
      </w:r>
      <w:r w:rsidR="0048591A" w:rsidRPr="00214EB2">
        <w:rPr>
          <w:rFonts w:cs="Times New Roman"/>
          <w:szCs w:val="24"/>
          <w:lang w:eastAsia="en-ZA"/>
        </w:rPr>
        <w:t xml:space="preserve"> </w:t>
      </w:r>
      <w:r w:rsidRPr="00214EB2">
        <w:rPr>
          <w:rFonts w:cs="Times New Roman"/>
          <w:szCs w:val="24"/>
          <w:lang w:eastAsia="en-ZA"/>
        </w:rPr>
        <w:t>…</w:t>
      </w:r>
      <w:r w:rsidR="0048591A" w:rsidRPr="00214EB2">
        <w:rPr>
          <w:rFonts w:cs="Times New Roman"/>
          <w:szCs w:val="24"/>
          <w:lang w:eastAsia="en-ZA"/>
        </w:rPr>
        <w:t xml:space="preserve"> </w:t>
      </w:r>
      <w:r w:rsidRPr="00214EB2">
        <w:rPr>
          <w:rFonts w:cs="Times New Roman"/>
          <w:szCs w:val="24"/>
          <w:lang w:eastAsia="en-ZA"/>
        </w:rPr>
        <w:t>in a language, in a scientific language that is acceptable. (Participant 1)</w:t>
      </w:r>
    </w:p>
    <w:p w14:paraId="5746440F" w14:textId="77777777" w:rsidR="00A42354" w:rsidRPr="00214EB2" w:rsidRDefault="00A42354" w:rsidP="00875EC3">
      <w:pPr>
        <w:spacing w:after="0" w:line="276" w:lineRule="auto"/>
        <w:jc w:val="both"/>
        <w:rPr>
          <w:rFonts w:cs="Times New Roman"/>
          <w:i/>
          <w:szCs w:val="24"/>
        </w:rPr>
      </w:pPr>
    </w:p>
    <w:p w14:paraId="3DADCABE" w14:textId="3591EBDD" w:rsidR="00A42354" w:rsidRPr="00214EB2" w:rsidRDefault="00A42354" w:rsidP="00875EC3">
      <w:pPr>
        <w:spacing w:after="0" w:line="276" w:lineRule="auto"/>
        <w:jc w:val="both"/>
        <w:rPr>
          <w:rFonts w:cs="Times New Roman"/>
          <w:szCs w:val="24"/>
        </w:rPr>
      </w:pPr>
      <w:r w:rsidRPr="00214EB2">
        <w:rPr>
          <w:rFonts w:cs="Times New Roman"/>
          <w:szCs w:val="24"/>
        </w:rPr>
        <w:t>Despite</w:t>
      </w:r>
      <w:r w:rsidR="00397528" w:rsidRPr="00214EB2">
        <w:rPr>
          <w:rFonts w:cs="Times New Roman"/>
          <w:szCs w:val="24"/>
        </w:rPr>
        <w:t xml:space="preserve"> </w:t>
      </w:r>
      <w:r w:rsidRPr="00214EB2">
        <w:rPr>
          <w:rFonts w:cs="Times New Roman"/>
          <w:szCs w:val="24"/>
        </w:rPr>
        <w:t>the</w:t>
      </w:r>
      <w:r w:rsidR="00397528" w:rsidRPr="00214EB2">
        <w:rPr>
          <w:rFonts w:cs="Times New Roman"/>
          <w:szCs w:val="24"/>
        </w:rPr>
        <w:t>ir</w:t>
      </w:r>
      <w:r w:rsidRPr="00214EB2">
        <w:rPr>
          <w:rFonts w:cs="Times New Roman"/>
          <w:szCs w:val="24"/>
        </w:rPr>
        <w:t xml:space="preserve"> interest and vast experience in teaching, few students were thus equipped with formal educational training as a foundation for further learning. For most the theory of pedagogy was new. This experience echoes that of others new to the scholarship of teaching and learning (</w:t>
      </w:r>
      <w:proofErr w:type="spellStart"/>
      <w:r w:rsidRPr="00214EB2">
        <w:rPr>
          <w:rFonts w:cs="Times New Roman"/>
          <w:szCs w:val="24"/>
        </w:rPr>
        <w:t>Stierer</w:t>
      </w:r>
      <w:proofErr w:type="spellEnd"/>
      <w:r w:rsidRPr="00214EB2">
        <w:rPr>
          <w:rFonts w:cs="Times New Roman"/>
          <w:szCs w:val="24"/>
        </w:rPr>
        <w:t xml:space="preserve"> 2008, </w:t>
      </w:r>
      <w:proofErr w:type="spellStart"/>
      <w:r w:rsidRPr="00214EB2">
        <w:rPr>
          <w:rFonts w:cs="Times New Roman"/>
          <w:szCs w:val="24"/>
        </w:rPr>
        <w:t>McGaghie</w:t>
      </w:r>
      <w:proofErr w:type="spellEnd"/>
      <w:r w:rsidRPr="00214EB2">
        <w:rPr>
          <w:rFonts w:cs="Times New Roman"/>
          <w:szCs w:val="24"/>
        </w:rPr>
        <w:t xml:space="preserve"> </w:t>
      </w:r>
      <w:r w:rsidR="0048591A" w:rsidRPr="00214EB2">
        <w:rPr>
          <w:rFonts w:cs="Times New Roman"/>
          <w:szCs w:val="24"/>
        </w:rPr>
        <w:t xml:space="preserve">&amp; </w:t>
      </w:r>
      <w:r w:rsidRPr="00214EB2">
        <w:rPr>
          <w:rFonts w:cs="Times New Roman"/>
          <w:szCs w:val="24"/>
        </w:rPr>
        <w:t xml:space="preserve">Webster 2009, </w:t>
      </w:r>
      <w:proofErr w:type="gramStart"/>
      <w:r w:rsidRPr="00214EB2">
        <w:rPr>
          <w:rFonts w:cs="Times New Roman"/>
          <w:szCs w:val="24"/>
        </w:rPr>
        <w:t>Murphy</w:t>
      </w:r>
      <w:proofErr w:type="gramEnd"/>
      <w:r w:rsidRPr="00214EB2">
        <w:rPr>
          <w:rFonts w:cs="Times New Roman"/>
          <w:szCs w:val="24"/>
        </w:rPr>
        <w:t xml:space="preserve"> 2014). </w:t>
      </w:r>
    </w:p>
    <w:p w14:paraId="4F47A5F3" w14:textId="77777777" w:rsidR="00A42354" w:rsidRPr="00214EB2" w:rsidRDefault="00A42354" w:rsidP="00875EC3">
      <w:pPr>
        <w:spacing w:after="0" w:line="276" w:lineRule="auto"/>
        <w:jc w:val="both"/>
        <w:rPr>
          <w:rFonts w:cs="Times New Roman"/>
          <w:i/>
          <w:szCs w:val="24"/>
        </w:rPr>
      </w:pPr>
    </w:p>
    <w:p w14:paraId="0AB64DB2" w14:textId="3A125DF1" w:rsidR="00A42354" w:rsidRPr="00214EB2" w:rsidRDefault="00A42354" w:rsidP="00875EC3">
      <w:pPr>
        <w:spacing w:after="0" w:line="276" w:lineRule="auto"/>
        <w:jc w:val="both"/>
        <w:rPr>
          <w:rFonts w:cs="Times New Roman"/>
          <w:szCs w:val="24"/>
        </w:rPr>
      </w:pPr>
      <w:r w:rsidRPr="00214EB2">
        <w:rPr>
          <w:rFonts w:cs="Times New Roman"/>
          <w:szCs w:val="24"/>
        </w:rPr>
        <w:t xml:space="preserve">Participants anticipated with apprehension the need to transition from a positivist, quantitative research paradigm to an interpretivist, qualitative research paradigm at the start of their postgraduate studies, as it tied in with the area in which most had little or no experience </w:t>
      </w:r>
      <w:r w:rsidR="008B4DA2" w:rsidRPr="00214EB2">
        <w:rPr>
          <w:rFonts w:cs="Times New Roman"/>
          <w:szCs w:val="24"/>
        </w:rPr>
        <w:t>n</w:t>
      </w:r>
      <w:r w:rsidRPr="00214EB2">
        <w:rPr>
          <w:rFonts w:cs="Times New Roman"/>
          <w:szCs w:val="24"/>
        </w:rPr>
        <w:t>or formal training</w:t>
      </w:r>
      <w:r w:rsidR="008C3F99" w:rsidRPr="00214EB2">
        <w:rPr>
          <w:rFonts w:cs="Times New Roman"/>
          <w:szCs w:val="24"/>
        </w:rPr>
        <w:t>:</w:t>
      </w:r>
      <w:r w:rsidRPr="00214EB2">
        <w:rPr>
          <w:rFonts w:cs="Times New Roman"/>
          <w:szCs w:val="24"/>
        </w:rPr>
        <w:t xml:space="preserve"> </w:t>
      </w:r>
    </w:p>
    <w:p w14:paraId="0ECF6728" w14:textId="77777777" w:rsidR="004D50D9" w:rsidRPr="00214EB2" w:rsidRDefault="004D50D9" w:rsidP="004D50D9">
      <w:pPr>
        <w:spacing w:after="0" w:line="276" w:lineRule="auto"/>
        <w:ind w:left="567" w:right="567"/>
        <w:jc w:val="both"/>
        <w:rPr>
          <w:rFonts w:cs="Times New Roman"/>
          <w:i/>
          <w:szCs w:val="24"/>
        </w:rPr>
      </w:pPr>
    </w:p>
    <w:p w14:paraId="45B51391" w14:textId="2020B64D" w:rsidR="00A42354" w:rsidRPr="00214EB2" w:rsidRDefault="00A42354" w:rsidP="004D50D9">
      <w:pPr>
        <w:spacing w:after="0" w:line="240" w:lineRule="auto"/>
        <w:ind w:left="567" w:right="567"/>
        <w:jc w:val="both"/>
        <w:rPr>
          <w:rFonts w:cs="Times New Roman"/>
          <w:szCs w:val="24"/>
        </w:rPr>
      </w:pPr>
      <w:r w:rsidRPr="00214EB2">
        <w:rPr>
          <w:rFonts w:cs="Times New Roman"/>
          <w:szCs w:val="24"/>
        </w:rPr>
        <w:t>…</w:t>
      </w:r>
      <w:r w:rsidR="004D50D9" w:rsidRPr="00214EB2">
        <w:rPr>
          <w:rFonts w:cs="Times New Roman"/>
          <w:szCs w:val="24"/>
        </w:rPr>
        <w:t xml:space="preserve"> </w:t>
      </w:r>
      <w:proofErr w:type="gramStart"/>
      <w:r w:rsidRPr="00214EB2">
        <w:rPr>
          <w:rFonts w:cs="Times New Roman"/>
          <w:szCs w:val="24"/>
        </w:rPr>
        <w:t>it</w:t>
      </w:r>
      <w:proofErr w:type="gramEnd"/>
      <w:r w:rsidRPr="00214EB2">
        <w:rPr>
          <w:rFonts w:cs="Times New Roman"/>
          <w:szCs w:val="24"/>
        </w:rPr>
        <w:t xml:space="preserve"> is totally different from the medical background that I have. At this point in time I feel pretty intimidated</w:t>
      </w:r>
      <w:r w:rsidR="00C16AEC" w:rsidRPr="00214EB2">
        <w:rPr>
          <w:rFonts w:cs="Times New Roman"/>
          <w:szCs w:val="24"/>
        </w:rPr>
        <w:t xml:space="preserve"> </w:t>
      </w:r>
      <w:r w:rsidRPr="00214EB2">
        <w:rPr>
          <w:rFonts w:cs="Times New Roman"/>
          <w:szCs w:val="24"/>
        </w:rPr>
        <w:t>... (Participant 3)</w:t>
      </w:r>
      <w:r w:rsidR="004D50D9" w:rsidRPr="00214EB2">
        <w:rPr>
          <w:rFonts w:cs="Times New Roman"/>
          <w:szCs w:val="24"/>
        </w:rPr>
        <w:t xml:space="preserve"> </w:t>
      </w:r>
    </w:p>
    <w:p w14:paraId="4EBC77B1" w14:textId="77777777" w:rsidR="004D50D9" w:rsidRPr="00214EB2" w:rsidRDefault="004D50D9" w:rsidP="004D50D9">
      <w:pPr>
        <w:spacing w:after="0" w:line="240" w:lineRule="auto"/>
        <w:ind w:left="567" w:right="567"/>
        <w:jc w:val="both"/>
        <w:rPr>
          <w:rFonts w:cs="Times New Roman"/>
          <w:szCs w:val="24"/>
        </w:rPr>
      </w:pPr>
    </w:p>
    <w:p w14:paraId="2F48AF39" w14:textId="3A56EACA" w:rsidR="00A42354" w:rsidRPr="00214EB2" w:rsidRDefault="00A42354" w:rsidP="004D50D9">
      <w:pPr>
        <w:spacing w:after="0" w:line="240" w:lineRule="auto"/>
        <w:ind w:left="567" w:right="567"/>
        <w:jc w:val="both"/>
        <w:rPr>
          <w:rFonts w:cs="Times New Roman"/>
          <w:szCs w:val="24"/>
        </w:rPr>
      </w:pPr>
      <w:r w:rsidRPr="00214EB2">
        <w:rPr>
          <w:rFonts w:cs="Times New Roman"/>
          <w:szCs w:val="24"/>
        </w:rPr>
        <w:t>…</w:t>
      </w:r>
      <w:r w:rsidR="004D50D9" w:rsidRPr="00214EB2">
        <w:rPr>
          <w:rFonts w:cs="Times New Roman"/>
          <w:szCs w:val="24"/>
        </w:rPr>
        <w:t xml:space="preserve"> </w:t>
      </w:r>
      <w:proofErr w:type="gramStart"/>
      <w:r w:rsidRPr="00214EB2">
        <w:rPr>
          <w:rFonts w:cs="Times New Roman"/>
          <w:szCs w:val="24"/>
        </w:rPr>
        <w:t>it</w:t>
      </w:r>
      <w:proofErr w:type="gramEnd"/>
      <w:r w:rsidRPr="00214EB2">
        <w:rPr>
          <w:rFonts w:cs="Times New Roman"/>
          <w:szCs w:val="24"/>
        </w:rPr>
        <w:t xml:space="preserve"> is going to be a whole new domain for me in a total different sphere</w:t>
      </w:r>
      <w:r w:rsidR="00C16AEC" w:rsidRPr="00214EB2">
        <w:rPr>
          <w:rFonts w:cs="Times New Roman"/>
          <w:szCs w:val="24"/>
        </w:rPr>
        <w:t xml:space="preserve"> </w:t>
      </w:r>
      <w:r w:rsidRPr="00214EB2">
        <w:rPr>
          <w:rFonts w:cs="Times New Roman"/>
          <w:szCs w:val="24"/>
        </w:rPr>
        <w:t>…</w:t>
      </w:r>
      <w:r w:rsidR="00C16AEC" w:rsidRPr="00214EB2">
        <w:rPr>
          <w:rFonts w:cs="Times New Roman"/>
          <w:szCs w:val="24"/>
        </w:rPr>
        <w:t xml:space="preserve"> </w:t>
      </w:r>
      <w:r w:rsidRPr="00214EB2">
        <w:rPr>
          <w:rFonts w:cs="Times New Roman"/>
          <w:szCs w:val="24"/>
        </w:rPr>
        <w:t>(Participant 12)</w:t>
      </w:r>
    </w:p>
    <w:p w14:paraId="1276E318" w14:textId="77777777" w:rsidR="00A42354" w:rsidRPr="00214EB2" w:rsidRDefault="00A42354" w:rsidP="00875EC3">
      <w:pPr>
        <w:spacing w:after="0" w:line="276" w:lineRule="auto"/>
        <w:jc w:val="both"/>
        <w:rPr>
          <w:rFonts w:cs="Times New Roman"/>
          <w:szCs w:val="24"/>
        </w:rPr>
      </w:pPr>
    </w:p>
    <w:p w14:paraId="75F2CAD6" w14:textId="6DAACC87" w:rsidR="00A42354" w:rsidRPr="00214EB2" w:rsidRDefault="00A42354" w:rsidP="00875EC3">
      <w:pPr>
        <w:spacing w:after="0" w:line="276" w:lineRule="auto"/>
        <w:jc w:val="both"/>
        <w:rPr>
          <w:rFonts w:cs="Times New Roman"/>
          <w:szCs w:val="24"/>
        </w:rPr>
      </w:pPr>
      <w:r w:rsidRPr="00214EB2">
        <w:rPr>
          <w:rFonts w:cs="Times New Roman"/>
          <w:szCs w:val="24"/>
        </w:rPr>
        <w:t>Although this is a Master</w:t>
      </w:r>
      <w:r w:rsidR="00BB4BCD" w:rsidRPr="00214EB2">
        <w:rPr>
          <w:rFonts w:cs="Times New Roman"/>
          <w:szCs w:val="24"/>
        </w:rPr>
        <w:t>’</w:t>
      </w:r>
      <w:r w:rsidRPr="00214EB2">
        <w:rPr>
          <w:rFonts w:cs="Times New Roman"/>
          <w:szCs w:val="24"/>
        </w:rPr>
        <w:t xml:space="preserve">s programme that expects from the student the ability to do independent research in order to qualify, the research training and experience within the group, especially in qualitative research methodology, was severely limited at the commencement of their studies and generated the most apprehension amongst students. This influenced their ability to engage with the body of educational research available and their comfort with, and mastering of, the educational discourse. Curriculum planners of the MPhil programme should take the above into consideration. It is suggested that year </w:t>
      </w:r>
      <w:r w:rsidR="001E5D07" w:rsidRPr="00214EB2">
        <w:rPr>
          <w:rFonts w:cs="Times New Roman"/>
          <w:szCs w:val="24"/>
        </w:rPr>
        <w:t xml:space="preserve">one should </w:t>
      </w:r>
      <w:r w:rsidRPr="00214EB2">
        <w:rPr>
          <w:rFonts w:cs="Times New Roman"/>
          <w:szCs w:val="24"/>
        </w:rPr>
        <w:t>focus more on the foundational skills and knowledge needed for successful participation in the course, especially qualitative research methodology and academic writing skills.</w:t>
      </w:r>
    </w:p>
    <w:p w14:paraId="7E5C59A4" w14:textId="77777777" w:rsidR="00A42354" w:rsidRPr="00214EB2" w:rsidRDefault="00A42354" w:rsidP="00875EC3">
      <w:pPr>
        <w:pStyle w:val="NormalWeb"/>
        <w:spacing w:before="0" w:beforeAutospacing="0" w:after="0" w:afterAutospacing="0" w:line="276" w:lineRule="auto"/>
        <w:jc w:val="both"/>
        <w:rPr>
          <w:rFonts w:asciiTheme="minorHAnsi" w:hAnsiTheme="minorHAnsi"/>
          <w:sz w:val="22"/>
          <w:szCs w:val="24"/>
        </w:rPr>
      </w:pPr>
    </w:p>
    <w:p w14:paraId="37E7E9FB" w14:textId="4C75390C" w:rsidR="00A42354" w:rsidRPr="00214EB2" w:rsidRDefault="00A42354" w:rsidP="00875EC3">
      <w:pPr>
        <w:pStyle w:val="NormalWeb"/>
        <w:spacing w:before="0" w:beforeAutospacing="0" w:after="0" w:afterAutospacing="0" w:line="276" w:lineRule="auto"/>
        <w:jc w:val="both"/>
        <w:rPr>
          <w:rFonts w:asciiTheme="minorHAnsi" w:hAnsiTheme="minorHAnsi"/>
          <w:sz w:val="22"/>
          <w:szCs w:val="24"/>
        </w:rPr>
      </w:pPr>
      <w:r w:rsidRPr="00214EB2">
        <w:rPr>
          <w:rFonts w:asciiTheme="minorHAnsi" w:hAnsiTheme="minorHAnsi"/>
          <w:sz w:val="22"/>
          <w:szCs w:val="24"/>
        </w:rPr>
        <w:t>This experience of rapid and unexpected transitions on many levels was reported by participants to be one of dissonance and discomfort</w:t>
      </w:r>
      <w:r w:rsidR="00C74B2B" w:rsidRPr="00214EB2">
        <w:rPr>
          <w:rFonts w:asciiTheme="minorHAnsi" w:hAnsiTheme="minorHAnsi"/>
          <w:sz w:val="22"/>
          <w:szCs w:val="24"/>
        </w:rPr>
        <w:t>:</w:t>
      </w:r>
      <w:r w:rsidRPr="00214EB2">
        <w:rPr>
          <w:rFonts w:asciiTheme="minorHAnsi" w:hAnsiTheme="minorHAnsi"/>
          <w:sz w:val="22"/>
          <w:szCs w:val="24"/>
        </w:rPr>
        <w:t xml:space="preserve"> </w:t>
      </w:r>
    </w:p>
    <w:p w14:paraId="57081055" w14:textId="77777777" w:rsidR="00D66B6E" w:rsidRPr="00214EB2" w:rsidRDefault="00D66B6E" w:rsidP="00875EC3">
      <w:pPr>
        <w:pStyle w:val="NormalWeb"/>
        <w:spacing w:before="0" w:beforeAutospacing="0" w:after="0" w:afterAutospacing="0" w:line="276" w:lineRule="auto"/>
        <w:jc w:val="both"/>
        <w:rPr>
          <w:rFonts w:asciiTheme="minorHAnsi" w:hAnsiTheme="minorHAnsi"/>
          <w:sz w:val="22"/>
          <w:szCs w:val="24"/>
        </w:rPr>
      </w:pPr>
    </w:p>
    <w:p w14:paraId="6B677806" w14:textId="6FDDF6CE" w:rsidR="00A42354" w:rsidRPr="00214EB2" w:rsidRDefault="00A42354" w:rsidP="00D66B6E">
      <w:pPr>
        <w:spacing w:after="0" w:line="240" w:lineRule="auto"/>
        <w:ind w:left="567" w:right="567"/>
        <w:jc w:val="both"/>
        <w:rPr>
          <w:rFonts w:cs="Times New Roman"/>
          <w:szCs w:val="24"/>
          <w:lang w:eastAsia="en-ZA"/>
        </w:rPr>
      </w:pPr>
      <w:r w:rsidRPr="00214EB2">
        <w:rPr>
          <w:rFonts w:cs="Times New Roman"/>
          <w:szCs w:val="24"/>
          <w:lang w:eastAsia="en-ZA"/>
        </w:rPr>
        <w:t>…</w:t>
      </w:r>
      <w:r w:rsidR="00D66B6E" w:rsidRPr="00214EB2">
        <w:rPr>
          <w:rFonts w:cs="Times New Roman"/>
          <w:szCs w:val="24"/>
          <w:lang w:eastAsia="en-ZA"/>
        </w:rPr>
        <w:t xml:space="preserve"> </w:t>
      </w:r>
      <w:proofErr w:type="gramStart"/>
      <w:r w:rsidRPr="00214EB2">
        <w:rPr>
          <w:rFonts w:cs="Times New Roman"/>
          <w:szCs w:val="24"/>
          <w:lang w:eastAsia="en-ZA"/>
        </w:rPr>
        <w:t>a</w:t>
      </w:r>
      <w:proofErr w:type="gramEnd"/>
      <w:r w:rsidRPr="00214EB2">
        <w:rPr>
          <w:rFonts w:cs="Times New Roman"/>
          <w:szCs w:val="24"/>
          <w:lang w:eastAsia="en-ZA"/>
        </w:rPr>
        <w:t xml:space="preserve"> point where I was out of my depth</w:t>
      </w:r>
      <w:r w:rsidR="00C74B2B" w:rsidRPr="00214EB2">
        <w:rPr>
          <w:rFonts w:cs="Times New Roman"/>
          <w:szCs w:val="24"/>
          <w:lang w:eastAsia="en-ZA"/>
        </w:rPr>
        <w:t xml:space="preserve"> </w:t>
      </w:r>
      <w:r w:rsidRPr="00214EB2">
        <w:rPr>
          <w:rFonts w:cs="Times New Roman"/>
          <w:szCs w:val="24"/>
          <w:lang w:eastAsia="en-ZA"/>
        </w:rPr>
        <w:t>…</w:t>
      </w:r>
      <w:r w:rsidR="00C74B2B" w:rsidRPr="00214EB2">
        <w:rPr>
          <w:rFonts w:cs="Times New Roman"/>
          <w:szCs w:val="24"/>
          <w:lang w:eastAsia="en-ZA"/>
        </w:rPr>
        <w:t xml:space="preserve"> </w:t>
      </w:r>
      <w:r w:rsidRPr="00214EB2">
        <w:rPr>
          <w:rFonts w:cs="Times New Roman"/>
          <w:szCs w:val="24"/>
          <w:lang w:eastAsia="en-ZA"/>
        </w:rPr>
        <w:t>but leaving me in a sea like this, it was a terrible experience; it was a very awkward experience for me. I never had anything like this in my life before</w:t>
      </w:r>
      <w:r w:rsidR="00D66B6E" w:rsidRPr="00214EB2">
        <w:rPr>
          <w:rFonts w:cs="Times New Roman"/>
          <w:szCs w:val="24"/>
          <w:lang w:eastAsia="en-ZA"/>
        </w:rPr>
        <w:t xml:space="preserve"> </w:t>
      </w:r>
      <w:r w:rsidRPr="00214EB2">
        <w:rPr>
          <w:rFonts w:cs="Times New Roman"/>
          <w:szCs w:val="24"/>
          <w:lang w:eastAsia="en-ZA"/>
        </w:rPr>
        <w:t>… (Participant 4)</w:t>
      </w:r>
    </w:p>
    <w:p w14:paraId="7B7474A3" w14:textId="77777777" w:rsidR="00D66B6E" w:rsidRPr="00214EB2" w:rsidRDefault="00D66B6E" w:rsidP="00D66B6E">
      <w:pPr>
        <w:spacing w:after="0" w:line="240" w:lineRule="auto"/>
        <w:ind w:left="567" w:right="567"/>
        <w:jc w:val="both"/>
        <w:rPr>
          <w:rFonts w:cs="Times New Roman"/>
          <w:szCs w:val="24"/>
        </w:rPr>
      </w:pPr>
    </w:p>
    <w:p w14:paraId="3DAB9829" w14:textId="77777777" w:rsidR="00A42354" w:rsidRPr="00214EB2" w:rsidRDefault="00A42354" w:rsidP="00D66B6E">
      <w:pPr>
        <w:spacing w:after="0" w:line="240" w:lineRule="auto"/>
        <w:ind w:left="567" w:right="567"/>
        <w:jc w:val="both"/>
        <w:rPr>
          <w:rFonts w:cs="Times New Roman"/>
          <w:szCs w:val="24"/>
          <w:lang w:eastAsia="en-ZA"/>
        </w:rPr>
      </w:pPr>
      <w:r w:rsidRPr="00214EB2">
        <w:rPr>
          <w:rFonts w:cs="Times New Roman"/>
          <w:szCs w:val="24"/>
          <w:lang w:eastAsia="en-ZA"/>
        </w:rPr>
        <w:t>…</w:t>
      </w:r>
      <w:r w:rsidR="00D66B6E" w:rsidRPr="00214EB2">
        <w:rPr>
          <w:rFonts w:cs="Times New Roman"/>
          <w:szCs w:val="24"/>
          <w:lang w:eastAsia="en-ZA"/>
        </w:rPr>
        <w:t xml:space="preserve"> </w:t>
      </w:r>
      <w:proofErr w:type="gramStart"/>
      <w:r w:rsidRPr="00214EB2">
        <w:rPr>
          <w:rFonts w:cs="Times New Roman"/>
          <w:szCs w:val="24"/>
          <w:lang w:eastAsia="en-ZA"/>
        </w:rPr>
        <w:t>a</w:t>
      </w:r>
      <w:proofErr w:type="gramEnd"/>
      <w:r w:rsidRPr="00214EB2">
        <w:rPr>
          <w:rFonts w:cs="Times New Roman"/>
          <w:szCs w:val="24"/>
          <w:lang w:eastAsia="en-ZA"/>
        </w:rPr>
        <w:t xml:space="preserve"> lot of the time we were in the dark. We didn't know where we were necessarily going</w:t>
      </w:r>
      <w:r w:rsidR="00D66B6E" w:rsidRPr="00214EB2">
        <w:rPr>
          <w:rFonts w:cs="Times New Roman"/>
          <w:szCs w:val="24"/>
          <w:lang w:eastAsia="en-ZA"/>
        </w:rPr>
        <w:t xml:space="preserve"> </w:t>
      </w:r>
      <w:r w:rsidRPr="00214EB2">
        <w:rPr>
          <w:rFonts w:cs="Times New Roman"/>
          <w:szCs w:val="24"/>
          <w:lang w:eastAsia="en-ZA"/>
        </w:rPr>
        <w:t>… (Participant 7)</w:t>
      </w:r>
    </w:p>
    <w:p w14:paraId="7AF93BFA" w14:textId="77777777" w:rsidR="00D66B6E" w:rsidRPr="00214EB2" w:rsidRDefault="00D66B6E" w:rsidP="00D66B6E">
      <w:pPr>
        <w:spacing w:after="0" w:line="240" w:lineRule="auto"/>
        <w:ind w:left="567" w:right="567"/>
        <w:jc w:val="both"/>
        <w:rPr>
          <w:rFonts w:cs="Times New Roman"/>
          <w:szCs w:val="24"/>
          <w:lang w:eastAsia="en-ZA"/>
        </w:rPr>
      </w:pPr>
    </w:p>
    <w:p w14:paraId="467ED2EA" w14:textId="77777777" w:rsidR="00A42354" w:rsidRPr="00214EB2" w:rsidRDefault="00A42354" w:rsidP="00D66B6E">
      <w:pPr>
        <w:spacing w:after="0" w:line="240" w:lineRule="auto"/>
        <w:ind w:left="567" w:right="567"/>
        <w:jc w:val="both"/>
        <w:rPr>
          <w:rFonts w:cs="Times New Roman"/>
          <w:szCs w:val="24"/>
          <w:lang w:eastAsia="en-ZA"/>
        </w:rPr>
      </w:pPr>
      <w:r w:rsidRPr="00214EB2">
        <w:rPr>
          <w:rFonts w:cs="Times New Roman"/>
          <w:szCs w:val="24"/>
          <w:lang w:eastAsia="en-ZA"/>
        </w:rPr>
        <w:t>…</w:t>
      </w:r>
      <w:r w:rsidR="00D66B6E" w:rsidRPr="00214EB2">
        <w:rPr>
          <w:rFonts w:cs="Times New Roman"/>
          <w:szCs w:val="24"/>
          <w:lang w:eastAsia="en-ZA"/>
        </w:rPr>
        <w:t xml:space="preserve"> </w:t>
      </w:r>
      <w:r w:rsidRPr="00214EB2">
        <w:rPr>
          <w:rFonts w:cs="Times New Roman"/>
          <w:szCs w:val="24"/>
          <w:lang w:eastAsia="en-ZA"/>
        </w:rPr>
        <w:t>I found it very depressing at times that you are in an environment where you are vulnerable… (Participant 1)</w:t>
      </w:r>
    </w:p>
    <w:p w14:paraId="0A6E46D5" w14:textId="77777777" w:rsidR="00A42354" w:rsidRPr="00214EB2" w:rsidRDefault="00A42354" w:rsidP="00875EC3">
      <w:pPr>
        <w:pStyle w:val="NormalWeb"/>
        <w:spacing w:before="0" w:beforeAutospacing="0" w:after="0" w:afterAutospacing="0" w:line="276" w:lineRule="auto"/>
        <w:jc w:val="both"/>
        <w:rPr>
          <w:rFonts w:asciiTheme="minorHAnsi" w:hAnsiTheme="minorHAnsi"/>
          <w:sz w:val="22"/>
          <w:szCs w:val="24"/>
        </w:rPr>
      </w:pPr>
    </w:p>
    <w:p w14:paraId="43A01B77" w14:textId="211D0A86" w:rsidR="00A42354" w:rsidRPr="00214EB2" w:rsidRDefault="00A42354" w:rsidP="00875EC3">
      <w:pPr>
        <w:spacing w:after="0" w:line="276" w:lineRule="auto"/>
        <w:jc w:val="both"/>
        <w:rPr>
          <w:rFonts w:eastAsia="Times New Roman"/>
          <w:szCs w:val="24"/>
        </w:rPr>
      </w:pPr>
      <w:r w:rsidRPr="00214EB2">
        <w:rPr>
          <w:szCs w:val="24"/>
        </w:rPr>
        <w:t>Viewing these transitions through the lens of transformative learning (</w:t>
      </w:r>
      <w:proofErr w:type="spellStart"/>
      <w:r w:rsidRPr="00214EB2">
        <w:rPr>
          <w:szCs w:val="24"/>
        </w:rPr>
        <w:t>Mezirow</w:t>
      </w:r>
      <w:proofErr w:type="spellEnd"/>
      <w:r w:rsidRPr="00214EB2">
        <w:rPr>
          <w:szCs w:val="24"/>
        </w:rPr>
        <w:t xml:space="preserve"> 2000</w:t>
      </w:r>
      <w:r w:rsidR="00C74B2B" w:rsidRPr="00214EB2">
        <w:rPr>
          <w:szCs w:val="24"/>
        </w:rPr>
        <w:t>;</w:t>
      </w:r>
      <w:r w:rsidRPr="00214EB2">
        <w:rPr>
          <w:szCs w:val="24"/>
        </w:rPr>
        <w:t xml:space="preserve"> </w:t>
      </w:r>
      <w:proofErr w:type="spellStart"/>
      <w:r w:rsidRPr="00214EB2">
        <w:rPr>
          <w:szCs w:val="24"/>
        </w:rPr>
        <w:t>Cranton</w:t>
      </w:r>
      <w:proofErr w:type="spellEnd"/>
      <w:r w:rsidRPr="00214EB2">
        <w:rPr>
          <w:szCs w:val="24"/>
        </w:rPr>
        <w:t xml:space="preserve"> 2011), these </w:t>
      </w:r>
      <w:r w:rsidRPr="00214EB2">
        <w:rPr>
          <w:rFonts w:eastAsia="Times New Roman"/>
          <w:szCs w:val="24"/>
        </w:rPr>
        <w:t>disorienting dilemmas</w:t>
      </w:r>
      <w:r w:rsidRPr="00214EB2">
        <w:rPr>
          <w:szCs w:val="24"/>
        </w:rPr>
        <w:t xml:space="preserve"> evoked a process of critical self-reflection </w:t>
      </w:r>
      <w:r w:rsidRPr="00214EB2">
        <w:rPr>
          <w:rFonts w:eastAsia="Times New Roman"/>
          <w:szCs w:val="24"/>
        </w:rPr>
        <w:t xml:space="preserve">and discourse to questioning </w:t>
      </w:r>
      <w:r w:rsidRPr="00214EB2">
        <w:rPr>
          <w:rFonts w:eastAsia="Times New Roman"/>
          <w:szCs w:val="24"/>
        </w:rPr>
        <w:lastRenderedPageBreak/>
        <w:t xml:space="preserve">assumptions, expectations, and context to achieve deeper meaning and </w:t>
      </w:r>
      <w:r w:rsidRPr="00214EB2">
        <w:rPr>
          <w:rFonts w:eastAsia="Times New Roman"/>
        </w:rPr>
        <w:t>new</w:t>
      </w:r>
      <w:r w:rsidRPr="00214EB2">
        <w:rPr>
          <w:rFonts w:eastAsia="Times New Roman"/>
          <w:sz w:val="20"/>
          <w:szCs w:val="24"/>
        </w:rPr>
        <w:t xml:space="preserve"> </w:t>
      </w:r>
      <w:r w:rsidRPr="00214EB2">
        <w:rPr>
          <w:rFonts w:eastAsia="Times New Roman"/>
          <w:szCs w:val="24"/>
        </w:rPr>
        <w:t>perspectives in their motivation for enrolling in</w:t>
      </w:r>
      <w:r w:rsidR="001B7427" w:rsidRPr="00214EB2">
        <w:rPr>
          <w:rFonts w:eastAsia="Times New Roman"/>
          <w:szCs w:val="24"/>
        </w:rPr>
        <w:t xml:space="preserve"> the Master’s programme,</w:t>
      </w:r>
      <w:r w:rsidRPr="00214EB2">
        <w:rPr>
          <w:rFonts w:eastAsia="Times New Roman"/>
          <w:szCs w:val="24"/>
        </w:rPr>
        <w:t xml:space="preserve"> and </w:t>
      </w:r>
      <w:r w:rsidR="001B7427" w:rsidRPr="00214EB2">
        <w:rPr>
          <w:rFonts w:eastAsia="Times New Roman"/>
          <w:szCs w:val="24"/>
        </w:rPr>
        <w:t xml:space="preserve">its </w:t>
      </w:r>
      <w:r w:rsidRPr="00214EB2">
        <w:rPr>
          <w:rFonts w:eastAsia="Times New Roman"/>
          <w:szCs w:val="24"/>
        </w:rPr>
        <w:t>professional implications</w:t>
      </w:r>
      <w:r w:rsidR="001B7427" w:rsidRPr="00214EB2">
        <w:rPr>
          <w:rFonts w:eastAsia="Times New Roman"/>
          <w:szCs w:val="24"/>
        </w:rPr>
        <w:t>:</w:t>
      </w:r>
    </w:p>
    <w:p w14:paraId="704A8602" w14:textId="77777777" w:rsidR="00BD263F" w:rsidRPr="00214EB2" w:rsidRDefault="00BD263F" w:rsidP="00875EC3">
      <w:pPr>
        <w:spacing w:after="0" w:line="276" w:lineRule="auto"/>
        <w:jc w:val="both"/>
        <w:rPr>
          <w:rFonts w:eastAsia="Times New Roman"/>
          <w:szCs w:val="24"/>
        </w:rPr>
      </w:pPr>
    </w:p>
    <w:p w14:paraId="7603FC80" w14:textId="722972D8" w:rsidR="00A42354" w:rsidRPr="00214EB2" w:rsidRDefault="00A42354" w:rsidP="00BD263F">
      <w:pPr>
        <w:spacing w:after="0" w:line="240" w:lineRule="auto"/>
        <w:ind w:left="567" w:right="567"/>
        <w:jc w:val="both"/>
        <w:rPr>
          <w:szCs w:val="24"/>
        </w:rPr>
      </w:pPr>
      <w:r w:rsidRPr="00214EB2">
        <w:rPr>
          <w:rFonts w:cs="Times New Roman"/>
          <w:szCs w:val="24"/>
          <w:lang w:eastAsia="en-ZA"/>
        </w:rPr>
        <w:t>…</w:t>
      </w:r>
      <w:r w:rsidR="00BD263F" w:rsidRPr="00214EB2">
        <w:rPr>
          <w:rFonts w:cs="Times New Roman"/>
          <w:szCs w:val="24"/>
          <w:lang w:eastAsia="en-ZA"/>
        </w:rPr>
        <w:t xml:space="preserve"> </w:t>
      </w:r>
      <w:proofErr w:type="gramStart"/>
      <w:r w:rsidRPr="00214EB2">
        <w:rPr>
          <w:rFonts w:cs="Times New Roman"/>
          <w:szCs w:val="24"/>
          <w:lang w:eastAsia="en-ZA"/>
        </w:rPr>
        <w:t>family</w:t>
      </w:r>
      <w:proofErr w:type="gramEnd"/>
      <w:r w:rsidRPr="00214EB2">
        <w:rPr>
          <w:rFonts w:cs="Times New Roman"/>
          <w:szCs w:val="24"/>
          <w:lang w:eastAsia="en-ZA"/>
        </w:rPr>
        <w:t xml:space="preserve"> life, studies, work and often feelings of guilt</w:t>
      </w:r>
      <w:r w:rsidR="00BD263F" w:rsidRPr="00214EB2">
        <w:rPr>
          <w:rFonts w:cs="Times New Roman"/>
          <w:szCs w:val="24"/>
          <w:lang w:eastAsia="en-ZA"/>
        </w:rPr>
        <w:t xml:space="preserve"> </w:t>
      </w:r>
      <w:r w:rsidRPr="00214EB2">
        <w:rPr>
          <w:rFonts w:cs="Times New Roman"/>
          <w:szCs w:val="24"/>
          <w:lang w:eastAsia="en-ZA"/>
        </w:rPr>
        <w:t>…</w:t>
      </w:r>
      <w:r w:rsidR="00BD263F" w:rsidRPr="00214EB2">
        <w:rPr>
          <w:rFonts w:cs="Times New Roman"/>
          <w:szCs w:val="24"/>
          <w:lang w:eastAsia="en-ZA"/>
        </w:rPr>
        <w:t xml:space="preserve"> </w:t>
      </w:r>
      <w:r w:rsidRPr="00214EB2">
        <w:rPr>
          <w:rFonts w:cs="Times New Roman"/>
          <w:szCs w:val="24"/>
          <w:lang w:eastAsia="en-ZA"/>
        </w:rPr>
        <w:t>what’s my priorities; I sometimes wondered, why am I doing this?</w:t>
      </w:r>
      <w:r w:rsidR="00BD263F" w:rsidRPr="00214EB2">
        <w:rPr>
          <w:rFonts w:cs="Times New Roman"/>
          <w:szCs w:val="24"/>
          <w:lang w:eastAsia="en-ZA"/>
        </w:rPr>
        <w:t xml:space="preserve"> </w:t>
      </w:r>
      <w:r w:rsidRPr="00214EB2">
        <w:rPr>
          <w:rFonts w:cs="Times New Roman"/>
          <w:szCs w:val="24"/>
          <w:lang w:eastAsia="en-ZA"/>
        </w:rPr>
        <w:t>... (Participant 3)</w:t>
      </w:r>
    </w:p>
    <w:p w14:paraId="11FAAB6C" w14:textId="77777777" w:rsidR="00A42354" w:rsidRPr="00214EB2" w:rsidRDefault="00A42354" w:rsidP="00875EC3">
      <w:pPr>
        <w:spacing w:after="0" w:line="276" w:lineRule="auto"/>
        <w:rPr>
          <w:rFonts w:cs="Times New Roman"/>
          <w:i/>
          <w:szCs w:val="24"/>
        </w:rPr>
      </w:pPr>
    </w:p>
    <w:p w14:paraId="588EF785" w14:textId="3B27C334" w:rsidR="00A42354" w:rsidRPr="00214EB2" w:rsidRDefault="00A42354" w:rsidP="00875EC3">
      <w:pPr>
        <w:spacing w:after="0" w:line="276" w:lineRule="auto"/>
        <w:jc w:val="both"/>
        <w:rPr>
          <w:szCs w:val="24"/>
        </w:rPr>
      </w:pPr>
      <w:r w:rsidRPr="00214EB2">
        <w:rPr>
          <w:szCs w:val="24"/>
        </w:rPr>
        <w:t>Professional identity, as defined in the 2010 Carnegie Report on Educating Physicians, is a composite of the values, beliefs, sense of affiliation, aspirations, and synchrony with the norms of the medical profession (Cooke</w:t>
      </w:r>
      <w:r w:rsidR="002458F9" w:rsidRPr="00214EB2">
        <w:rPr>
          <w:szCs w:val="24"/>
        </w:rPr>
        <w:t xml:space="preserve"> </w:t>
      </w:r>
      <w:r w:rsidR="002458F9" w:rsidRPr="00214EB2">
        <w:rPr>
          <w:i/>
          <w:szCs w:val="24"/>
        </w:rPr>
        <w:t>et al.</w:t>
      </w:r>
      <w:r w:rsidR="002458F9" w:rsidRPr="00214EB2">
        <w:rPr>
          <w:szCs w:val="24"/>
        </w:rPr>
        <w:t xml:space="preserve"> </w:t>
      </w:r>
      <w:r w:rsidRPr="00214EB2">
        <w:rPr>
          <w:szCs w:val="24"/>
        </w:rPr>
        <w:t xml:space="preserve">2010). </w:t>
      </w:r>
      <w:proofErr w:type="spellStart"/>
      <w:r w:rsidRPr="00214EB2">
        <w:rPr>
          <w:szCs w:val="24"/>
        </w:rPr>
        <w:t>Monrouxe</w:t>
      </w:r>
      <w:proofErr w:type="spellEnd"/>
      <w:r w:rsidRPr="00214EB2">
        <w:rPr>
          <w:szCs w:val="24"/>
        </w:rPr>
        <w:t xml:space="preserve"> (2010) states that professional identity forms through a socialisation process in which a new professional identity is integrated</w:t>
      </w:r>
      <w:r w:rsidR="00260691" w:rsidRPr="00214EB2">
        <w:rPr>
          <w:szCs w:val="24"/>
        </w:rPr>
        <w:t xml:space="preserve"> with one’s personal identity. </w:t>
      </w:r>
      <w:r w:rsidRPr="00214EB2">
        <w:rPr>
          <w:szCs w:val="24"/>
        </w:rPr>
        <w:t>This process becomes even more complex when more than one major professional discipline has to be combin</w:t>
      </w:r>
      <w:r w:rsidR="00260691" w:rsidRPr="00214EB2">
        <w:rPr>
          <w:szCs w:val="24"/>
        </w:rPr>
        <w:t>ed.</w:t>
      </w:r>
      <w:r w:rsidRPr="00214EB2">
        <w:rPr>
          <w:szCs w:val="24"/>
        </w:rPr>
        <w:t xml:space="preserve"> </w:t>
      </w:r>
    </w:p>
    <w:p w14:paraId="31C201A5" w14:textId="77777777" w:rsidR="00F43DE9" w:rsidRPr="00214EB2" w:rsidRDefault="00F43DE9" w:rsidP="00C97538">
      <w:pPr>
        <w:spacing w:after="0" w:line="276" w:lineRule="auto"/>
        <w:jc w:val="both"/>
        <w:rPr>
          <w:b/>
          <w:sz w:val="24"/>
          <w:szCs w:val="24"/>
        </w:rPr>
      </w:pPr>
    </w:p>
    <w:p w14:paraId="7AC5D8A6" w14:textId="77777777" w:rsidR="00A42354" w:rsidRPr="008D2DDA" w:rsidRDefault="00A42354" w:rsidP="00F43DE9">
      <w:pPr>
        <w:spacing w:line="276" w:lineRule="auto"/>
        <w:jc w:val="both"/>
        <w:rPr>
          <w:b/>
          <w:color w:val="7B7B7B" w:themeColor="accent3" w:themeShade="BF"/>
          <w:sz w:val="24"/>
          <w:szCs w:val="24"/>
        </w:rPr>
      </w:pPr>
      <w:r w:rsidRPr="008D2DDA">
        <w:rPr>
          <w:b/>
          <w:color w:val="7B7B7B" w:themeColor="accent3" w:themeShade="BF"/>
          <w:sz w:val="24"/>
          <w:szCs w:val="24"/>
        </w:rPr>
        <w:t>Roles and Identity formation</w:t>
      </w:r>
    </w:p>
    <w:p w14:paraId="131563F9" w14:textId="20A10FC1" w:rsidR="00A42354" w:rsidRPr="00214EB2" w:rsidRDefault="00A42354" w:rsidP="00875EC3">
      <w:pPr>
        <w:spacing w:after="0" w:line="276" w:lineRule="auto"/>
        <w:jc w:val="both"/>
        <w:rPr>
          <w:szCs w:val="24"/>
        </w:rPr>
      </w:pPr>
      <w:r w:rsidRPr="00214EB2">
        <w:rPr>
          <w:szCs w:val="24"/>
        </w:rPr>
        <w:t>Multiple tensions associated with both becoming and being a clinician-educator have been reported (</w:t>
      </w:r>
      <w:proofErr w:type="spellStart"/>
      <w:r w:rsidRPr="00214EB2">
        <w:rPr>
          <w:szCs w:val="24"/>
        </w:rPr>
        <w:t>Sethi</w:t>
      </w:r>
      <w:proofErr w:type="spellEnd"/>
      <w:r w:rsidR="002458F9" w:rsidRPr="00214EB2">
        <w:rPr>
          <w:szCs w:val="24"/>
        </w:rPr>
        <w:t xml:space="preserve"> </w:t>
      </w:r>
      <w:r w:rsidR="002458F9" w:rsidRPr="00214EB2">
        <w:rPr>
          <w:i/>
          <w:szCs w:val="24"/>
        </w:rPr>
        <w:t xml:space="preserve">et al. </w:t>
      </w:r>
      <w:r w:rsidRPr="00214EB2">
        <w:rPr>
          <w:szCs w:val="24"/>
        </w:rPr>
        <w:t xml:space="preserve">2017; </w:t>
      </w:r>
      <w:proofErr w:type="spellStart"/>
      <w:r w:rsidRPr="00214EB2">
        <w:rPr>
          <w:szCs w:val="24"/>
        </w:rPr>
        <w:t>Sundberg</w:t>
      </w:r>
      <w:proofErr w:type="spellEnd"/>
      <w:r w:rsidR="002458F9" w:rsidRPr="00214EB2">
        <w:rPr>
          <w:szCs w:val="24"/>
        </w:rPr>
        <w:t xml:space="preserve"> </w:t>
      </w:r>
      <w:r w:rsidR="002458F9" w:rsidRPr="00214EB2">
        <w:rPr>
          <w:i/>
          <w:szCs w:val="24"/>
        </w:rPr>
        <w:t>et al.</w:t>
      </w:r>
      <w:r w:rsidR="002458F9" w:rsidRPr="00214EB2">
        <w:rPr>
          <w:szCs w:val="24"/>
        </w:rPr>
        <w:t xml:space="preserve"> </w:t>
      </w:r>
      <w:r w:rsidR="00260691" w:rsidRPr="00214EB2">
        <w:rPr>
          <w:szCs w:val="24"/>
        </w:rPr>
        <w:t>2017; Kumar</w:t>
      </w:r>
      <w:r w:rsidR="002458F9" w:rsidRPr="00214EB2">
        <w:rPr>
          <w:szCs w:val="24"/>
        </w:rPr>
        <w:t xml:space="preserve"> </w:t>
      </w:r>
      <w:r w:rsidR="002458F9" w:rsidRPr="00214EB2">
        <w:rPr>
          <w:i/>
          <w:szCs w:val="24"/>
        </w:rPr>
        <w:t>et al.</w:t>
      </w:r>
      <w:r w:rsidR="002458F9" w:rsidRPr="00214EB2">
        <w:rPr>
          <w:szCs w:val="24"/>
        </w:rPr>
        <w:t xml:space="preserve"> </w:t>
      </w:r>
      <w:r w:rsidR="00260691" w:rsidRPr="00214EB2">
        <w:rPr>
          <w:szCs w:val="24"/>
        </w:rPr>
        <w:t xml:space="preserve">2011). </w:t>
      </w:r>
      <w:r w:rsidRPr="00214EB2">
        <w:rPr>
          <w:szCs w:val="24"/>
        </w:rPr>
        <w:t>These include</w:t>
      </w:r>
      <w:r w:rsidR="00AE1F0B" w:rsidRPr="00214EB2">
        <w:rPr>
          <w:szCs w:val="24"/>
        </w:rPr>
        <w:t>:</w:t>
      </w:r>
      <w:r w:rsidRPr="00214EB2">
        <w:rPr>
          <w:szCs w:val="24"/>
        </w:rPr>
        <w:t xml:space="preserve"> the perceived need to juggle multiple roles and manag</w:t>
      </w:r>
      <w:r w:rsidR="00AE1F0B" w:rsidRPr="00214EB2">
        <w:rPr>
          <w:szCs w:val="24"/>
        </w:rPr>
        <w:t>e</w:t>
      </w:r>
      <w:r w:rsidRPr="00214EB2">
        <w:rPr>
          <w:szCs w:val="24"/>
        </w:rPr>
        <w:t xml:space="preserve"> multiple intersecting identities within a broader community that does not necessarily value their educational expertise</w:t>
      </w:r>
      <w:r w:rsidR="00AE1F0B" w:rsidRPr="00214EB2">
        <w:rPr>
          <w:szCs w:val="24"/>
        </w:rPr>
        <w:t xml:space="preserve">; </w:t>
      </w:r>
      <w:r w:rsidRPr="00214EB2">
        <w:rPr>
          <w:szCs w:val="24"/>
        </w:rPr>
        <w:t>education being seen as a vast speciality</w:t>
      </w:r>
      <w:r w:rsidR="005764CC" w:rsidRPr="00214EB2">
        <w:rPr>
          <w:szCs w:val="24"/>
        </w:rPr>
        <w:t>,</w:t>
      </w:r>
      <w:r w:rsidR="00AE1F0B" w:rsidRPr="00214EB2">
        <w:rPr>
          <w:szCs w:val="24"/>
        </w:rPr>
        <w:t xml:space="preserve"> </w:t>
      </w:r>
      <w:r w:rsidRPr="00214EB2">
        <w:rPr>
          <w:szCs w:val="24"/>
        </w:rPr>
        <w:t>making it difficult as a generalist to keep up</w:t>
      </w:r>
      <w:r w:rsidR="00AE1F0B" w:rsidRPr="00214EB2">
        <w:rPr>
          <w:szCs w:val="24"/>
        </w:rPr>
        <w:t xml:space="preserve"> </w:t>
      </w:r>
      <w:r w:rsidRPr="00214EB2">
        <w:rPr>
          <w:szCs w:val="24"/>
        </w:rPr>
        <w:t>to</w:t>
      </w:r>
      <w:r w:rsidR="00AE1F0B" w:rsidRPr="00214EB2">
        <w:rPr>
          <w:szCs w:val="24"/>
        </w:rPr>
        <w:t xml:space="preserve"> </w:t>
      </w:r>
      <w:r w:rsidRPr="00214EB2">
        <w:rPr>
          <w:szCs w:val="24"/>
        </w:rPr>
        <w:t>date in all areas</w:t>
      </w:r>
      <w:r w:rsidR="00AE1F0B" w:rsidRPr="00214EB2">
        <w:rPr>
          <w:szCs w:val="24"/>
        </w:rPr>
        <w:t>;</w:t>
      </w:r>
      <w:r w:rsidRPr="00214EB2">
        <w:rPr>
          <w:szCs w:val="24"/>
        </w:rPr>
        <w:t xml:space="preserve"> and difficulties experienced in executing their role to reform medical education. </w:t>
      </w:r>
    </w:p>
    <w:p w14:paraId="36A9111D" w14:textId="77777777" w:rsidR="00A42354" w:rsidRPr="00214EB2" w:rsidRDefault="00A42354" w:rsidP="00875EC3">
      <w:pPr>
        <w:spacing w:after="0" w:line="276" w:lineRule="auto"/>
        <w:jc w:val="both"/>
        <w:rPr>
          <w:szCs w:val="24"/>
        </w:rPr>
      </w:pPr>
    </w:p>
    <w:p w14:paraId="0F024E38" w14:textId="05527251" w:rsidR="00A42354" w:rsidRPr="00214EB2" w:rsidRDefault="00A42354" w:rsidP="00875EC3">
      <w:pPr>
        <w:spacing w:after="0" w:line="276" w:lineRule="auto"/>
        <w:jc w:val="both"/>
        <w:rPr>
          <w:szCs w:val="24"/>
        </w:rPr>
      </w:pPr>
      <w:r w:rsidRPr="00214EB2">
        <w:rPr>
          <w:szCs w:val="24"/>
        </w:rPr>
        <w:t xml:space="preserve">Adams (2011) even implied that the combining of roles of nurse and teacher can be a ‘role crisis’ as it removes each concrete identity when nurse educators are unable to ‘prove’ to </w:t>
      </w:r>
      <w:r w:rsidR="00345D10" w:rsidRPr="00214EB2">
        <w:rPr>
          <w:szCs w:val="24"/>
        </w:rPr>
        <w:t xml:space="preserve">their professional ability in nursing to their </w:t>
      </w:r>
      <w:r w:rsidRPr="00214EB2">
        <w:rPr>
          <w:szCs w:val="24"/>
        </w:rPr>
        <w:t>colleagues and the</w:t>
      </w:r>
      <w:r w:rsidR="00345D10" w:rsidRPr="00214EB2">
        <w:rPr>
          <w:szCs w:val="24"/>
        </w:rPr>
        <w:t>ir</w:t>
      </w:r>
      <w:r w:rsidRPr="00214EB2">
        <w:rPr>
          <w:szCs w:val="24"/>
        </w:rPr>
        <w:t xml:space="preserve"> organi</w:t>
      </w:r>
      <w:r w:rsidR="00345D10" w:rsidRPr="00214EB2">
        <w:rPr>
          <w:szCs w:val="24"/>
        </w:rPr>
        <w:t>s</w:t>
      </w:r>
      <w:r w:rsidRPr="00214EB2">
        <w:rPr>
          <w:szCs w:val="24"/>
        </w:rPr>
        <w:t>ation</w:t>
      </w:r>
      <w:r w:rsidR="00345D10" w:rsidRPr="00214EB2">
        <w:rPr>
          <w:szCs w:val="24"/>
        </w:rPr>
        <w:t xml:space="preserve">, </w:t>
      </w:r>
      <w:r w:rsidRPr="00214EB2">
        <w:rPr>
          <w:szCs w:val="24"/>
        </w:rPr>
        <w:t xml:space="preserve">or establish their professional position as a teacher. Not surprising then that Taylor and colleagues (2007) reported that medical educators teaching in a clinical setting, identify themselves </w:t>
      </w:r>
      <w:r w:rsidR="00905845" w:rsidRPr="00214EB2">
        <w:rPr>
          <w:szCs w:val="24"/>
        </w:rPr>
        <w:t xml:space="preserve">foremost </w:t>
      </w:r>
      <w:r w:rsidRPr="00214EB2">
        <w:rPr>
          <w:szCs w:val="24"/>
        </w:rPr>
        <w:t>as clinicians and physicians, and only secondar</w:t>
      </w:r>
      <w:r w:rsidR="00310DC3" w:rsidRPr="00214EB2">
        <w:rPr>
          <w:szCs w:val="24"/>
        </w:rPr>
        <w:t>il</w:t>
      </w:r>
      <w:r w:rsidRPr="00214EB2">
        <w:rPr>
          <w:szCs w:val="24"/>
        </w:rPr>
        <w:t xml:space="preserve">y as educators. Similarly, one year after nurse and physiotherapist professionals have completed a postgraduate </w:t>
      </w:r>
      <w:r w:rsidR="00905845" w:rsidRPr="00214EB2">
        <w:rPr>
          <w:szCs w:val="24"/>
        </w:rPr>
        <w:t>M</w:t>
      </w:r>
      <w:r w:rsidR="00BB4BCD" w:rsidRPr="00214EB2">
        <w:rPr>
          <w:szCs w:val="24"/>
        </w:rPr>
        <w:t>aster’s</w:t>
      </w:r>
      <w:r w:rsidRPr="00214EB2">
        <w:rPr>
          <w:szCs w:val="24"/>
        </w:rPr>
        <w:t xml:space="preserve"> degree in research, they still identified the role of scientist as complimentary or additional to that of their clinical role. </w:t>
      </w:r>
    </w:p>
    <w:p w14:paraId="667F7529" w14:textId="77777777" w:rsidR="00A42354" w:rsidRPr="00214EB2" w:rsidRDefault="00A42354" w:rsidP="00875EC3">
      <w:pPr>
        <w:spacing w:after="0" w:line="276" w:lineRule="auto"/>
        <w:jc w:val="both"/>
        <w:rPr>
          <w:szCs w:val="24"/>
        </w:rPr>
      </w:pPr>
    </w:p>
    <w:p w14:paraId="42BE964A" w14:textId="1FA3BA65" w:rsidR="00A42354" w:rsidRPr="00214EB2" w:rsidRDefault="00A42354" w:rsidP="00875EC3">
      <w:pPr>
        <w:spacing w:after="0" w:line="276" w:lineRule="auto"/>
        <w:jc w:val="both"/>
        <w:rPr>
          <w:rFonts w:cs="Times New Roman"/>
          <w:szCs w:val="24"/>
        </w:rPr>
      </w:pPr>
      <w:r w:rsidRPr="00214EB2">
        <w:rPr>
          <w:rFonts w:cs="Times New Roman"/>
          <w:szCs w:val="24"/>
        </w:rPr>
        <w:t xml:space="preserve">The </w:t>
      </w:r>
      <w:r w:rsidRPr="00214EB2">
        <w:rPr>
          <w:szCs w:val="24"/>
        </w:rPr>
        <w:t>transition from clinician to clinician-educator requires the development of a new professional identity</w:t>
      </w:r>
      <w:r w:rsidR="00905845" w:rsidRPr="00214EB2">
        <w:rPr>
          <w:szCs w:val="24"/>
        </w:rPr>
        <w:t>,</w:t>
      </w:r>
      <w:r w:rsidRPr="00214EB2">
        <w:rPr>
          <w:szCs w:val="24"/>
        </w:rPr>
        <w:t xml:space="preserve"> and </w:t>
      </w:r>
      <w:r w:rsidR="00905845" w:rsidRPr="00214EB2">
        <w:rPr>
          <w:szCs w:val="24"/>
        </w:rPr>
        <w:t xml:space="preserve">the </w:t>
      </w:r>
      <w:r w:rsidRPr="00214EB2">
        <w:rPr>
          <w:szCs w:val="24"/>
        </w:rPr>
        <w:t>successful education of these professionals requires insight into how they develop their professional identity and how they combine distinct practices (</w:t>
      </w:r>
      <w:proofErr w:type="spellStart"/>
      <w:r w:rsidRPr="00214EB2">
        <w:rPr>
          <w:szCs w:val="24"/>
        </w:rPr>
        <w:t>Kluijtmans</w:t>
      </w:r>
      <w:proofErr w:type="spellEnd"/>
      <w:r w:rsidR="002458F9" w:rsidRPr="00214EB2">
        <w:rPr>
          <w:szCs w:val="24"/>
        </w:rPr>
        <w:t xml:space="preserve"> </w:t>
      </w:r>
      <w:r w:rsidR="002458F9" w:rsidRPr="00214EB2">
        <w:rPr>
          <w:i/>
          <w:szCs w:val="24"/>
        </w:rPr>
        <w:t>et al.</w:t>
      </w:r>
      <w:r w:rsidR="002458F9" w:rsidRPr="00214EB2">
        <w:rPr>
          <w:szCs w:val="24"/>
        </w:rPr>
        <w:t xml:space="preserve"> </w:t>
      </w:r>
      <w:r w:rsidRPr="00214EB2">
        <w:rPr>
          <w:szCs w:val="24"/>
        </w:rPr>
        <w:t xml:space="preserve">2017). </w:t>
      </w:r>
      <w:r w:rsidR="00905845" w:rsidRPr="00214EB2">
        <w:rPr>
          <w:szCs w:val="24"/>
        </w:rPr>
        <w:t>The a</w:t>
      </w:r>
      <w:r w:rsidRPr="00214EB2">
        <w:rPr>
          <w:szCs w:val="24"/>
        </w:rPr>
        <w:t>bility to function competently in multiple contexts and connect different disciplines does not per se result from postgraduate training in education, and should therefore receive explicit attention in Master</w:t>
      </w:r>
      <w:r w:rsidR="00BB4BCD" w:rsidRPr="00214EB2">
        <w:rPr>
          <w:szCs w:val="24"/>
        </w:rPr>
        <w:t>’</w:t>
      </w:r>
      <w:r w:rsidRPr="00214EB2">
        <w:rPr>
          <w:szCs w:val="24"/>
        </w:rPr>
        <w:t>s programmes (</w:t>
      </w:r>
      <w:proofErr w:type="spellStart"/>
      <w:r w:rsidRPr="00214EB2">
        <w:rPr>
          <w:szCs w:val="24"/>
        </w:rPr>
        <w:t>Kluijtmans</w:t>
      </w:r>
      <w:proofErr w:type="spellEnd"/>
      <w:r w:rsidR="002458F9" w:rsidRPr="00214EB2">
        <w:rPr>
          <w:szCs w:val="24"/>
        </w:rPr>
        <w:t xml:space="preserve"> </w:t>
      </w:r>
      <w:r w:rsidR="002458F9" w:rsidRPr="00214EB2">
        <w:rPr>
          <w:i/>
          <w:szCs w:val="24"/>
        </w:rPr>
        <w:t>et al.</w:t>
      </w:r>
      <w:r w:rsidR="002458F9" w:rsidRPr="00214EB2">
        <w:rPr>
          <w:szCs w:val="24"/>
        </w:rPr>
        <w:t xml:space="preserve"> </w:t>
      </w:r>
      <w:r w:rsidRPr="00214EB2">
        <w:rPr>
          <w:szCs w:val="24"/>
        </w:rPr>
        <w:t xml:space="preserve">2017). </w:t>
      </w:r>
      <w:r w:rsidRPr="00214EB2">
        <w:rPr>
          <w:rFonts w:cs="Times New Roman"/>
          <w:szCs w:val="24"/>
        </w:rPr>
        <w:t>Participants in our study were just starting to contend with their new and multiple professional identities and roles</w:t>
      </w:r>
      <w:r w:rsidR="00905570" w:rsidRPr="00214EB2">
        <w:rPr>
          <w:rFonts w:cs="Times New Roman"/>
          <w:szCs w:val="24"/>
        </w:rPr>
        <w:t>:</w:t>
      </w:r>
    </w:p>
    <w:p w14:paraId="24985A0B" w14:textId="77777777" w:rsidR="00875EC3" w:rsidRPr="00214EB2" w:rsidRDefault="00875EC3" w:rsidP="00FF6625">
      <w:pPr>
        <w:spacing w:after="0" w:line="240" w:lineRule="auto"/>
        <w:ind w:left="567" w:right="567"/>
        <w:jc w:val="both"/>
        <w:rPr>
          <w:szCs w:val="24"/>
        </w:rPr>
      </w:pPr>
    </w:p>
    <w:p w14:paraId="03C32494" w14:textId="77777777" w:rsidR="00A42354" w:rsidRPr="00214EB2" w:rsidRDefault="00A42354" w:rsidP="00FF6625">
      <w:pPr>
        <w:tabs>
          <w:tab w:val="left" w:pos="1620"/>
        </w:tabs>
        <w:spacing w:after="0" w:line="240" w:lineRule="auto"/>
        <w:ind w:left="567" w:right="567"/>
        <w:jc w:val="both"/>
        <w:rPr>
          <w:rFonts w:cs="Times New Roman"/>
          <w:szCs w:val="24"/>
          <w:lang w:eastAsia="en-ZA"/>
        </w:rPr>
      </w:pPr>
      <w:r w:rsidRPr="00214EB2">
        <w:rPr>
          <w:rFonts w:cs="Times New Roman"/>
          <w:szCs w:val="24"/>
          <w:lang w:eastAsia="en-ZA"/>
        </w:rPr>
        <w:t>…</w:t>
      </w:r>
      <w:r w:rsidR="00FF6625" w:rsidRPr="00214EB2">
        <w:rPr>
          <w:rFonts w:cs="Times New Roman"/>
          <w:szCs w:val="24"/>
          <w:lang w:eastAsia="en-ZA"/>
        </w:rPr>
        <w:t xml:space="preserve"> </w:t>
      </w:r>
      <w:r w:rsidRPr="00214EB2">
        <w:rPr>
          <w:rFonts w:cs="Times New Roman"/>
          <w:szCs w:val="24"/>
          <w:lang w:eastAsia="en-ZA"/>
        </w:rPr>
        <w:t>What is my career path? I’m afraid for me it’s not very clear</w:t>
      </w:r>
      <w:r w:rsidR="00FF6625" w:rsidRPr="00214EB2">
        <w:rPr>
          <w:rFonts w:cs="Times New Roman"/>
          <w:szCs w:val="24"/>
          <w:lang w:eastAsia="en-ZA"/>
        </w:rPr>
        <w:t xml:space="preserve"> </w:t>
      </w:r>
      <w:r w:rsidRPr="00214EB2">
        <w:rPr>
          <w:rFonts w:cs="Times New Roman"/>
          <w:szCs w:val="24"/>
          <w:lang w:eastAsia="en-ZA"/>
        </w:rPr>
        <w:t>…</w:t>
      </w:r>
      <w:r w:rsidR="00FF6625" w:rsidRPr="00214EB2">
        <w:rPr>
          <w:rFonts w:cs="Times New Roman"/>
          <w:szCs w:val="24"/>
          <w:lang w:eastAsia="en-ZA"/>
        </w:rPr>
        <w:t xml:space="preserve"> </w:t>
      </w:r>
      <w:r w:rsidRPr="00214EB2">
        <w:rPr>
          <w:rFonts w:cs="Times New Roman"/>
          <w:szCs w:val="24"/>
          <w:lang w:eastAsia="en-ZA"/>
        </w:rPr>
        <w:t>it’s like I’m being pulled into different directions</w:t>
      </w:r>
      <w:r w:rsidR="00FF6625" w:rsidRPr="00214EB2">
        <w:rPr>
          <w:rFonts w:cs="Times New Roman"/>
          <w:szCs w:val="24"/>
          <w:lang w:eastAsia="en-ZA"/>
        </w:rPr>
        <w:t xml:space="preserve"> </w:t>
      </w:r>
      <w:r w:rsidRPr="00214EB2">
        <w:rPr>
          <w:rFonts w:cs="Times New Roman"/>
          <w:szCs w:val="24"/>
          <w:lang w:eastAsia="en-ZA"/>
        </w:rPr>
        <w:t>… (Participant 4)</w:t>
      </w:r>
    </w:p>
    <w:p w14:paraId="705EE74D" w14:textId="77777777" w:rsidR="00FF6625" w:rsidRPr="00214EB2" w:rsidRDefault="00FF6625" w:rsidP="00FF6625">
      <w:pPr>
        <w:tabs>
          <w:tab w:val="left" w:pos="1620"/>
        </w:tabs>
        <w:spacing w:after="0" w:line="240" w:lineRule="auto"/>
        <w:ind w:left="567" w:right="567"/>
        <w:jc w:val="both"/>
        <w:rPr>
          <w:rFonts w:cs="Times New Roman"/>
          <w:szCs w:val="24"/>
          <w:lang w:eastAsia="en-ZA"/>
        </w:rPr>
      </w:pPr>
    </w:p>
    <w:p w14:paraId="03DC7541" w14:textId="3F1F9198" w:rsidR="00A42354" w:rsidRPr="00214EB2" w:rsidRDefault="00905570" w:rsidP="00FF6625">
      <w:pPr>
        <w:tabs>
          <w:tab w:val="left" w:pos="1620"/>
        </w:tabs>
        <w:spacing w:after="0" w:line="240" w:lineRule="auto"/>
        <w:ind w:left="567" w:right="567"/>
        <w:jc w:val="both"/>
        <w:rPr>
          <w:szCs w:val="24"/>
        </w:rPr>
      </w:pPr>
      <w:r w:rsidRPr="00214EB2">
        <w:rPr>
          <w:rFonts w:cs="Times New Roman"/>
          <w:szCs w:val="24"/>
          <w:lang w:eastAsia="en-ZA"/>
        </w:rPr>
        <w:t xml:space="preserve">… </w:t>
      </w:r>
      <w:proofErr w:type="gramStart"/>
      <w:r w:rsidR="00A42354" w:rsidRPr="00214EB2">
        <w:rPr>
          <w:rFonts w:cs="Times New Roman"/>
          <w:szCs w:val="24"/>
          <w:lang w:eastAsia="en-ZA"/>
        </w:rPr>
        <w:t>when</w:t>
      </w:r>
      <w:proofErr w:type="gramEnd"/>
      <w:r w:rsidR="00A42354" w:rsidRPr="00214EB2">
        <w:rPr>
          <w:rFonts w:cs="Times New Roman"/>
          <w:szCs w:val="24"/>
          <w:lang w:eastAsia="en-ZA"/>
        </w:rPr>
        <w:t xml:space="preserve"> I speak to other(s) … who are not involved in education, that's when I realised that there is a divide. (Participant 7)</w:t>
      </w:r>
    </w:p>
    <w:p w14:paraId="3B8AF0E4" w14:textId="77777777" w:rsidR="00A42354" w:rsidRPr="00214EB2" w:rsidRDefault="00A42354" w:rsidP="00875EC3">
      <w:pPr>
        <w:spacing w:after="0" w:line="276" w:lineRule="auto"/>
        <w:jc w:val="both"/>
        <w:rPr>
          <w:szCs w:val="24"/>
        </w:rPr>
      </w:pPr>
    </w:p>
    <w:p w14:paraId="5C483018" w14:textId="2CC5365F" w:rsidR="00A42354" w:rsidRPr="00214EB2" w:rsidRDefault="00A42354" w:rsidP="00875EC3">
      <w:pPr>
        <w:spacing w:after="0" w:line="276" w:lineRule="auto"/>
        <w:jc w:val="both"/>
        <w:rPr>
          <w:szCs w:val="24"/>
        </w:rPr>
      </w:pPr>
      <w:proofErr w:type="spellStart"/>
      <w:r w:rsidRPr="00214EB2">
        <w:rPr>
          <w:szCs w:val="24"/>
        </w:rPr>
        <w:lastRenderedPageBreak/>
        <w:t>Roccas</w:t>
      </w:r>
      <w:proofErr w:type="spellEnd"/>
      <w:r w:rsidRPr="00214EB2">
        <w:rPr>
          <w:szCs w:val="24"/>
        </w:rPr>
        <w:t xml:space="preserve"> and Brewer (2002) theorised four possible models by which individuals maintain a single representation of identity in the face of multiple non-convergent group identities</w:t>
      </w:r>
      <w:r w:rsidR="00531E62" w:rsidRPr="00214EB2">
        <w:rPr>
          <w:szCs w:val="24"/>
        </w:rPr>
        <w:t xml:space="preserve">: </w:t>
      </w:r>
      <w:r w:rsidRPr="00214EB2">
        <w:rPr>
          <w:szCs w:val="24"/>
        </w:rPr>
        <w:t>intersection (an individual forms a unique identity with properties that make it distinct from any of the individual group membership)</w:t>
      </w:r>
      <w:r w:rsidR="00531E62" w:rsidRPr="00214EB2">
        <w:rPr>
          <w:szCs w:val="24"/>
        </w:rPr>
        <w:t>;</w:t>
      </w:r>
      <w:r w:rsidRPr="00214EB2">
        <w:rPr>
          <w:szCs w:val="24"/>
        </w:rPr>
        <w:t xml:space="preserve"> dominance (the individual adopts a primary identity to which other group memberships are subordinate)</w:t>
      </w:r>
      <w:r w:rsidR="00531E62" w:rsidRPr="00214EB2">
        <w:rPr>
          <w:szCs w:val="24"/>
        </w:rPr>
        <w:t>;</w:t>
      </w:r>
      <w:r w:rsidRPr="00214EB2">
        <w:rPr>
          <w:szCs w:val="24"/>
        </w:rPr>
        <w:t xml:space="preserve"> compartmentalisation (identity is context or situation specific)</w:t>
      </w:r>
      <w:r w:rsidR="00531E62" w:rsidRPr="00214EB2">
        <w:rPr>
          <w:szCs w:val="24"/>
        </w:rPr>
        <w:t xml:space="preserve">; </w:t>
      </w:r>
      <w:r w:rsidRPr="00214EB2">
        <w:rPr>
          <w:szCs w:val="24"/>
        </w:rPr>
        <w:t xml:space="preserve">and merger (non-congruent identities are combined to generate a new identity that is a sum of the individual identities). At this stage of participants’ identity development it is unclear which model is being adopted. This should be researched further as Rosenblum and colleagues (2016) warn that professional identity may be threatened at one or more stages during the educational and career development pathway when the different discipline knowledge has not been sufficiently integrated to generate a professional niche in which the values and skills of both domains complement rather than compete with each other. </w:t>
      </w:r>
    </w:p>
    <w:p w14:paraId="5869FDAE" w14:textId="77777777" w:rsidR="00A42354" w:rsidRPr="000B0981" w:rsidRDefault="00A42354" w:rsidP="00875EC3">
      <w:pPr>
        <w:spacing w:after="0" w:line="276" w:lineRule="auto"/>
        <w:jc w:val="both"/>
        <w:rPr>
          <w:szCs w:val="24"/>
        </w:rPr>
      </w:pPr>
    </w:p>
    <w:p w14:paraId="7535EACD" w14:textId="77777777" w:rsidR="00A42354" w:rsidRPr="008B2A40" w:rsidRDefault="00A42354" w:rsidP="00F43DE9">
      <w:pPr>
        <w:spacing w:line="276" w:lineRule="auto"/>
        <w:jc w:val="both"/>
        <w:rPr>
          <w:b/>
          <w:color w:val="7B7B7B" w:themeColor="accent3" w:themeShade="BF"/>
          <w:sz w:val="24"/>
          <w:szCs w:val="24"/>
        </w:rPr>
      </w:pPr>
      <w:r w:rsidRPr="008B2A40">
        <w:rPr>
          <w:b/>
          <w:color w:val="7B7B7B" w:themeColor="accent3" w:themeShade="BF"/>
          <w:sz w:val="24"/>
          <w:szCs w:val="24"/>
        </w:rPr>
        <w:t>Participation in a Community of Practice</w:t>
      </w:r>
    </w:p>
    <w:p w14:paraId="307DBE93" w14:textId="3F8C20D1" w:rsidR="00A42354" w:rsidRPr="00214EB2" w:rsidRDefault="00A42354" w:rsidP="00875EC3">
      <w:pPr>
        <w:spacing w:after="0" w:line="276" w:lineRule="auto"/>
        <w:jc w:val="both"/>
        <w:rPr>
          <w:szCs w:val="24"/>
        </w:rPr>
      </w:pPr>
      <w:r w:rsidRPr="00214EB2">
        <w:rPr>
          <w:szCs w:val="24"/>
        </w:rPr>
        <w:t>Having a safe and supportive system of teachers and other significant people may facilitate a student's inclination to move forward with this transformative learning process.</w:t>
      </w:r>
      <w:r w:rsidRPr="00214EB2">
        <w:rPr>
          <w:rFonts w:cs="Times New Roman"/>
          <w:szCs w:val="24"/>
        </w:rPr>
        <w:t xml:space="preserve"> </w:t>
      </w:r>
      <w:r w:rsidRPr="00214EB2">
        <w:rPr>
          <w:szCs w:val="24"/>
        </w:rPr>
        <w:t>Factors that further facilitate identity formation include a tolerance for, and the capacity to manage, ambiguity and complexity</w:t>
      </w:r>
      <w:r w:rsidR="009E4AF9" w:rsidRPr="00214EB2">
        <w:rPr>
          <w:szCs w:val="24"/>
        </w:rPr>
        <w:t>;</w:t>
      </w:r>
      <w:r w:rsidRPr="00214EB2">
        <w:rPr>
          <w:szCs w:val="24"/>
        </w:rPr>
        <w:t xml:space="preserve"> personal resilience</w:t>
      </w:r>
      <w:r w:rsidR="009E4AF9" w:rsidRPr="00214EB2">
        <w:rPr>
          <w:szCs w:val="24"/>
        </w:rPr>
        <w:t>;</w:t>
      </w:r>
      <w:r w:rsidRPr="00214EB2">
        <w:rPr>
          <w:szCs w:val="24"/>
        </w:rPr>
        <w:t xml:space="preserve"> a socialisation process that fosters reconciliation between personal and professional identities</w:t>
      </w:r>
      <w:r w:rsidR="009E4AF9" w:rsidRPr="00214EB2">
        <w:rPr>
          <w:szCs w:val="24"/>
        </w:rPr>
        <w:t>;</w:t>
      </w:r>
      <w:r w:rsidRPr="00214EB2">
        <w:rPr>
          <w:szCs w:val="24"/>
        </w:rPr>
        <w:t xml:space="preserve"> self-reflection</w:t>
      </w:r>
      <w:r w:rsidR="009E4AF9" w:rsidRPr="00214EB2">
        <w:rPr>
          <w:szCs w:val="24"/>
        </w:rPr>
        <w:t>;</w:t>
      </w:r>
      <w:r w:rsidRPr="00214EB2">
        <w:rPr>
          <w:szCs w:val="24"/>
        </w:rPr>
        <w:t xml:space="preserve"> and a collaborative learning environment. </w:t>
      </w:r>
      <w:r w:rsidRPr="00214EB2">
        <w:rPr>
          <w:rFonts w:cs="Times New Roman"/>
          <w:szCs w:val="24"/>
        </w:rPr>
        <w:t xml:space="preserve">Becoming part of a community of practice </w:t>
      </w:r>
      <w:r w:rsidRPr="00214EB2">
        <w:rPr>
          <w:szCs w:val="24"/>
        </w:rPr>
        <w:t>with systems of role</w:t>
      </w:r>
      <w:r w:rsidR="009E4AF9" w:rsidRPr="00214EB2">
        <w:rPr>
          <w:szCs w:val="24"/>
        </w:rPr>
        <w:t>-</w:t>
      </w:r>
      <w:r w:rsidRPr="00214EB2">
        <w:rPr>
          <w:szCs w:val="24"/>
        </w:rPr>
        <w:t>modelling and mentorship</w:t>
      </w:r>
      <w:r w:rsidRPr="00214EB2">
        <w:rPr>
          <w:rFonts w:cs="Times New Roman"/>
          <w:szCs w:val="24"/>
        </w:rPr>
        <w:t xml:space="preserve"> </w:t>
      </w:r>
      <w:r w:rsidRPr="00214EB2">
        <w:rPr>
          <w:szCs w:val="24"/>
        </w:rPr>
        <w:t>is crucial for the formation of professional identity</w:t>
      </w:r>
      <w:r w:rsidRPr="00214EB2">
        <w:rPr>
          <w:rFonts w:cs="Times New Roman"/>
          <w:szCs w:val="24"/>
        </w:rPr>
        <w:t xml:space="preserve"> </w:t>
      </w:r>
      <w:r w:rsidRPr="00214EB2">
        <w:rPr>
          <w:szCs w:val="24"/>
        </w:rPr>
        <w:t>as it facilitates a narrative construction of one’s identity and a demonstration of value to external communities (</w:t>
      </w:r>
      <w:r w:rsidRPr="00214EB2">
        <w:rPr>
          <w:rFonts w:cs="Times New Roman"/>
          <w:szCs w:val="24"/>
        </w:rPr>
        <w:t>Chen</w:t>
      </w:r>
      <w:r w:rsidR="002458F9" w:rsidRPr="00214EB2">
        <w:rPr>
          <w:rFonts w:cs="Times New Roman"/>
          <w:szCs w:val="24"/>
        </w:rPr>
        <w:t xml:space="preserve"> </w:t>
      </w:r>
      <w:r w:rsidR="002458F9" w:rsidRPr="00214EB2">
        <w:rPr>
          <w:rFonts w:cs="Times New Roman"/>
          <w:i/>
          <w:szCs w:val="24"/>
        </w:rPr>
        <w:t>et al.</w:t>
      </w:r>
      <w:r w:rsidR="002458F9" w:rsidRPr="00214EB2">
        <w:rPr>
          <w:rFonts w:cs="Times New Roman"/>
          <w:szCs w:val="24"/>
        </w:rPr>
        <w:t xml:space="preserve"> </w:t>
      </w:r>
      <w:r w:rsidRPr="00214EB2">
        <w:rPr>
          <w:rFonts w:cs="Times New Roman"/>
          <w:szCs w:val="24"/>
        </w:rPr>
        <w:t xml:space="preserve">2017; </w:t>
      </w:r>
      <w:r w:rsidRPr="00214EB2">
        <w:rPr>
          <w:szCs w:val="24"/>
        </w:rPr>
        <w:t>Rosenblum</w:t>
      </w:r>
      <w:r w:rsidR="002458F9" w:rsidRPr="00214EB2">
        <w:rPr>
          <w:szCs w:val="24"/>
        </w:rPr>
        <w:t xml:space="preserve"> </w:t>
      </w:r>
      <w:r w:rsidR="002458F9" w:rsidRPr="00214EB2">
        <w:rPr>
          <w:i/>
          <w:szCs w:val="24"/>
        </w:rPr>
        <w:t>et al.</w:t>
      </w:r>
      <w:r w:rsidR="002458F9" w:rsidRPr="00214EB2">
        <w:rPr>
          <w:szCs w:val="24"/>
        </w:rPr>
        <w:t xml:space="preserve"> </w:t>
      </w:r>
      <w:r w:rsidRPr="00214EB2">
        <w:rPr>
          <w:szCs w:val="24"/>
        </w:rPr>
        <w:t>2016; Pratt</w:t>
      </w:r>
      <w:r w:rsidR="002458F9" w:rsidRPr="00214EB2">
        <w:rPr>
          <w:szCs w:val="24"/>
        </w:rPr>
        <w:t xml:space="preserve"> </w:t>
      </w:r>
      <w:r w:rsidR="002458F9" w:rsidRPr="00214EB2">
        <w:rPr>
          <w:i/>
          <w:szCs w:val="24"/>
        </w:rPr>
        <w:t>et al.</w:t>
      </w:r>
      <w:r w:rsidR="002458F9" w:rsidRPr="00214EB2">
        <w:rPr>
          <w:szCs w:val="24"/>
        </w:rPr>
        <w:t xml:space="preserve"> </w:t>
      </w:r>
      <w:r w:rsidRPr="00214EB2">
        <w:rPr>
          <w:szCs w:val="24"/>
        </w:rPr>
        <w:t xml:space="preserve">2006; </w:t>
      </w:r>
      <w:proofErr w:type="spellStart"/>
      <w:r w:rsidRPr="00214EB2">
        <w:rPr>
          <w:szCs w:val="24"/>
        </w:rPr>
        <w:t>Roccas</w:t>
      </w:r>
      <w:proofErr w:type="spellEnd"/>
      <w:r w:rsidRPr="00214EB2">
        <w:rPr>
          <w:szCs w:val="24"/>
        </w:rPr>
        <w:t xml:space="preserve"> </w:t>
      </w:r>
      <w:r w:rsidR="002458F9" w:rsidRPr="00214EB2">
        <w:rPr>
          <w:szCs w:val="24"/>
        </w:rPr>
        <w:t xml:space="preserve">&amp; </w:t>
      </w:r>
      <w:r w:rsidRPr="00214EB2">
        <w:rPr>
          <w:szCs w:val="24"/>
        </w:rPr>
        <w:t>Brewer 2002). By identifying with the unique combination of disciplines, and recognising the advantages of doing so, dual-professionals may be motivated to overcome the hurdles in their education and career pathways (</w:t>
      </w:r>
      <w:proofErr w:type="spellStart"/>
      <w:r w:rsidRPr="00214EB2">
        <w:rPr>
          <w:szCs w:val="24"/>
        </w:rPr>
        <w:t>McIlveen</w:t>
      </w:r>
      <w:proofErr w:type="spellEnd"/>
      <w:r w:rsidRPr="00214EB2">
        <w:rPr>
          <w:szCs w:val="24"/>
        </w:rPr>
        <w:t xml:space="preserve"> </w:t>
      </w:r>
      <w:r w:rsidR="002458F9" w:rsidRPr="00214EB2">
        <w:rPr>
          <w:szCs w:val="24"/>
        </w:rPr>
        <w:t xml:space="preserve">&amp; </w:t>
      </w:r>
      <w:r w:rsidRPr="00214EB2">
        <w:rPr>
          <w:szCs w:val="24"/>
        </w:rPr>
        <w:t>Patton 2007).</w:t>
      </w:r>
    </w:p>
    <w:p w14:paraId="6304C9DE" w14:textId="77777777" w:rsidR="00A42354" w:rsidRPr="00214EB2" w:rsidRDefault="00A42354" w:rsidP="00875EC3">
      <w:pPr>
        <w:spacing w:after="0" w:line="276" w:lineRule="auto"/>
        <w:jc w:val="both"/>
        <w:rPr>
          <w:szCs w:val="24"/>
        </w:rPr>
      </w:pPr>
    </w:p>
    <w:p w14:paraId="49C139E4" w14:textId="3288D899" w:rsidR="00A42354" w:rsidRPr="00214EB2" w:rsidRDefault="00A42354" w:rsidP="00875EC3">
      <w:pPr>
        <w:spacing w:after="0" w:line="276" w:lineRule="auto"/>
        <w:jc w:val="both"/>
        <w:rPr>
          <w:rFonts w:cs="Times New Roman"/>
          <w:szCs w:val="24"/>
        </w:rPr>
      </w:pPr>
      <w:r w:rsidRPr="00214EB2">
        <w:rPr>
          <w:rFonts w:cs="Times New Roman"/>
          <w:szCs w:val="24"/>
        </w:rPr>
        <w:t>Lave and Wenger (1991) first described learning as participation in activities situated within a community of practice where learning arises from meaningful contributions to the community of practice. A community of practice share</w:t>
      </w:r>
      <w:r w:rsidR="00AB3703" w:rsidRPr="00214EB2">
        <w:rPr>
          <w:rFonts w:cs="Times New Roman"/>
          <w:szCs w:val="24"/>
        </w:rPr>
        <w:t>s</w:t>
      </w:r>
      <w:r w:rsidRPr="00214EB2">
        <w:rPr>
          <w:rFonts w:cs="Times New Roman"/>
          <w:szCs w:val="24"/>
        </w:rPr>
        <w:t xml:space="preserve"> and work</w:t>
      </w:r>
      <w:r w:rsidR="004B3F4A" w:rsidRPr="00214EB2">
        <w:rPr>
          <w:rFonts w:cs="Times New Roman"/>
          <w:szCs w:val="24"/>
        </w:rPr>
        <w:t>s</w:t>
      </w:r>
      <w:r w:rsidRPr="00214EB2">
        <w:rPr>
          <w:rFonts w:cs="Times New Roman"/>
          <w:szCs w:val="24"/>
        </w:rPr>
        <w:t xml:space="preserve"> towards a common goal and develop</w:t>
      </w:r>
      <w:r w:rsidR="004B3F4A" w:rsidRPr="00214EB2">
        <w:rPr>
          <w:rFonts w:cs="Times New Roman"/>
          <w:szCs w:val="24"/>
        </w:rPr>
        <w:t>s</w:t>
      </w:r>
      <w:r w:rsidRPr="00214EB2">
        <w:rPr>
          <w:rFonts w:cs="Times New Roman"/>
          <w:szCs w:val="24"/>
        </w:rPr>
        <w:t xml:space="preserve"> a shared repertoire of common language, knowledge, beliefs, values, stories, and practices to achieve that goal. Wenger (1999) later advanced this framework to focus on the concept of learning as identity formation; a journey through multiple communities of practice with identification or dis-identification with specific communities of practice. Emerging clinician-educators often have to function as members of two communities of practice - their disciplinary community as well as the teaching and higher education community (Murphy 2014). </w:t>
      </w:r>
    </w:p>
    <w:p w14:paraId="14D6BD6B" w14:textId="77777777" w:rsidR="00A42354" w:rsidRPr="00214EB2" w:rsidRDefault="00A42354" w:rsidP="00875EC3">
      <w:pPr>
        <w:spacing w:after="0" w:line="276" w:lineRule="auto"/>
        <w:jc w:val="both"/>
        <w:rPr>
          <w:szCs w:val="24"/>
        </w:rPr>
      </w:pPr>
    </w:p>
    <w:p w14:paraId="1A25CA72" w14:textId="4DA736BD" w:rsidR="00D715B6" w:rsidRPr="00214EB2" w:rsidRDefault="00A42354" w:rsidP="00875EC3">
      <w:pPr>
        <w:spacing w:after="0" w:line="276" w:lineRule="auto"/>
        <w:jc w:val="both"/>
        <w:rPr>
          <w:rFonts w:cs="Times New Roman"/>
          <w:szCs w:val="24"/>
        </w:rPr>
      </w:pPr>
      <w:r w:rsidRPr="00214EB2">
        <w:rPr>
          <w:szCs w:val="24"/>
        </w:rPr>
        <w:t xml:space="preserve">Our participants echoed the above, with the formation of </w:t>
      </w:r>
      <w:r w:rsidRPr="00214EB2">
        <w:rPr>
          <w:rFonts w:cs="Times New Roman"/>
          <w:szCs w:val="24"/>
        </w:rPr>
        <w:t>and inclusion within a community of practice reported as a dominant enabler during their period of transition. Despite this being a web-based course, the formation of fellow-students and lecturers as a community of practice became one of the strongest enabling factors during the transitional process. The contact weeks, online discussions, and ready support were perceived as vital to the engagement and ongoing participation in the new discipline</w:t>
      </w:r>
      <w:r w:rsidR="00D715B6" w:rsidRPr="00214EB2">
        <w:rPr>
          <w:rFonts w:cs="Times New Roman"/>
          <w:szCs w:val="24"/>
        </w:rPr>
        <w:t>:</w:t>
      </w:r>
      <w:r w:rsidRPr="00214EB2">
        <w:rPr>
          <w:rFonts w:cs="Times New Roman"/>
          <w:szCs w:val="24"/>
        </w:rPr>
        <w:t xml:space="preserve"> </w:t>
      </w:r>
    </w:p>
    <w:p w14:paraId="20D541AC" w14:textId="77777777" w:rsidR="00875EC3" w:rsidRPr="00214EB2" w:rsidRDefault="00875EC3" w:rsidP="00875EC3">
      <w:pPr>
        <w:spacing w:after="0" w:line="276" w:lineRule="auto"/>
        <w:jc w:val="both"/>
        <w:rPr>
          <w:rFonts w:cs="Times New Roman"/>
          <w:i/>
          <w:szCs w:val="24"/>
          <w:lang w:eastAsia="en-ZA"/>
        </w:rPr>
      </w:pPr>
    </w:p>
    <w:p w14:paraId="30451E14" w14:textId="77777777" w:rsidR="00A42354" w:rsidRPr="00F44415" w:rsidRDefault="00A42354" w:rsidP="007F4A76">
      <w:pPr>
        <w:spacing w:after="0" w:line="240" w:lineRule="auto"/>
        <w:ind w:left="567" w:right="567"/>
        <w:jc w:val="both"/>
        <w:rPr>
          <w:rFonts w:cs="Times New Roman"/>
          <w:szCs w:val="24"/>
          <w:lang w:eastAsia="en-ZA"/>
        </w:rPr>
      </w:pPr>
      <w:r w:rsidRPr="00F44415">
        <w:rPr>
          <w:rFonts w:cs="Times New Roman"/>
          <w:szCs w:val="24"/>
          <w:lang w:eastAsia="en-ZA"/>
        </w:rPr>
        <w:lastRenderedPageBreak/>
        <w:t>I got a lot of help during the year from my colleagues</w:t>
      </w:r>
      <w:r w:rsidR="007F4A76" w:rsidRPr="00F44415">
        <w:rPr>
          <w:rFonts w:cs="Times New Roman"/>
          <w:szCs w:val="24"/>
          <w:lang w:eastAsia="en-ZA"/>
        </w:rPr>
        <w:t xml:space="preserve"> </w:t>
      </w:r>
      <w:r w:rsidRPr="00F44415">
        <w:rPr>
          <w:rFonts w:cs="Times New Roman"/>
          <w:szCs w:val="24"/>
          <w:lang w:eastAsia="en-ZA"/>
        </w:rPr>
        <w:t>…</w:t>
      </w:r>
      <w:r w:rsidR="007F4A76" w:rsidRPr="00F44415">
        <w:rPr>
          <w:rFonts w:cs="Times New Roman"/>
          <w:szCs w:val="24"/>
          <w:lang w:eastAsia="en-ZA"/>
        </w:rPr>
        <w:t xml:space="preserve"> </w:t>
      </w:r>
      <w:r w:rsidRPr="00F44415">
        <w:rPr>
          <w:rFonts w:cs="Times New Roman"/>
          <w:szCs w:val="24"/>
          <w:lang w:eastAsia="en-ZA"/>
        </w:rPr>
        <w:t>this interaction was gold for me</w:t>
      </w:r>
      <w:r w:rsidR="007F4A76" w:rsidRPr="00F44415">
        <w:rPr>
          <w:rFonts w:cs="Times New Roman"/>
          <w:szCs w:val="24"/>
          <w:lang w:eastAsia="en-ZA"/>
        </w:rPr>
        <w:t xml:space="preserve"> </w:t>
      </w:r>
      <w:r w:rsidRPr="00F44415">
        <w:rPr>
          <w:rFonts w:cs="Times New Roman"/>
          <w:szCs w:val="24"/>
          <w:lang w:eastAsia="en-ZA"/>
        </w:rPr>
        <w:t>… (Participant 4)</w:t>
      </w:r>
    </w:p>
    <w:p w14:paraId="669FC0C0" w14:textId="77777777" w:rsidR="007F4A76" w:rsidRPr="00F44415" w:rsidRDefault="007F4A76" w:rsidP="007F4A76">
      <w:pPr>
        <w:spacing w:after="0" w:line="240" w:lineRule="auto"/>
        <w:ind w:left="567" w:right="567"/>
        <w:jc w:val="both"/>
        <w:rPr>
          <w:rFonts w:cs="Times New Roman"/>
          <w:szCs w:val="24"/>
          <w:lang w:eastAsia="en-ZA"/>
        </w:rPr>
      </w:pPr>
    </w:p>
    <w:p w14:paraId="19B27DA3" w14:textId="77777777" w:rsidR="00A42354" w:rsidRPr="00F44415" w:rsidRDefault="00A42354" w:rsidP="007F4A76">
      <w:pPr>
        <w:spacing w:after="0" w:line="240" w:lineRule="auto"/>
        <w:ind w:left="567" w:right="567"/>
        <w:jc w:val="both"/>
        <w:rPr>
          <w:rFonts w:cs="Times New Roman"/>
          <w:szCs w:val="24"/>
          <w:lang w:eastAsia="en-ZA"/>
        </w:rPr>
      </w:pPr>
      <w:r w:rsidRPr="00F44415">
        <w:rPr>
          <w:rFonts w:cs="Times New Roman"/>
          <w:szCs w:val="24"/>
          <w:lang w:eastAsia="en-ZA"/>
        </w:rPr>
        <w:t>…</w:t>
      </w:r>
      <w:r w:rsidR="007F4A76" w:rsidRPr="00F44415">
        <w:rPr>
          <w:rFonts w:cs="Times New Roman"/>
          <w:szCs w:val="24"/>
          <w:lang w:eastAsia="en-ZA"/>
        </w:rPr>
        <w:t xml:space="preserve"> </w:t>
      </w:r>
      <w:proofErr w:type="gramStart"/>
      <w:r w:rsidRPr="00F44415">
        <w:rPr>
          <w:rFonts w:cs="Times New Roman"/>
          <w:szCs w:val="24"/>
          <w:lang w:eastAsia="en-ZA"/>
        </w:rPr>
        <w:t>peer</w:t>
      </w:r>
      <w:proofErr w:type="gramEnd"/>
      <w:r w:rsidRPr="00F44415">
        <w:rPr>
          <w:rFonts w:cs="Times New Roman"/>
          <w:szCs w:val="24"/>
          <w:lang w:eastAsia="en-ZA"/>
        </w:rPr>
        <w:t xml:space="preserve"> support was vitally important for the first year</w:t>
      </w:r>
      <w:r w:rsidR="007F4A76" w:rsidRPr="00F44415">
        <w:rPr>
          <w:rFonts w:cs="Times New Roman"/>
          <w:szCs w:val="24"/>
          <w:lang w:eastAsia="en-ZA"/>
        </w:rPr>
        <w:t xml:space="preserve"> …</w:t>
      </w:r>
      <w:r w:rsidRPr="00F44415">
        <w:rPr>
          <w:rFonts w:cs="Times New Roman"/>
          <w:szCs w:val="24"/>
          <w:lang w:eastAsia="en-ZA"/>
        </w:rPr>
        <w:t xml:space="preserve"> (Participant 6)</w:t>
      </w:r>
    </w:p>
    <w:p w14:paraId="3AE98D97" w14:textId="77777777" w:rsidR="00AB6436" w:rsidRPr="006B5E6E" w:rsidRDefault="00AB6436" w:rsidP="00F43DE9">
      <w:pPr>
        <w:spacing w:line="240" w:lineRule="auto"/>
        <w:jc w:val="both"/>
        <w:rPr>
          <w:b/>
          <w:color w:val="7B7B7B" w:themeColor="accent3" w:themeShade="BF"/>
          <w:sz w:val="24"/>
          <w:szCs w:val="24"/>
        </w:rPr>
      </w:pPr>
    </w:p>
    <w:p w14:paraId="3468F397" w14:textId="77777777" w:rsidR="00A42354" w:rsidRPr="006B5E6E" w:rsidRDefault="00A42354" w:rsidP="00F43DE9">
      <w:pPr>
        <w:spacing w:line="240" w:lineRule="auto"/>
        <w:jc w:val="both"/>
        <w:rPr>
          <w:b/>
          <w:color w:val="7B7B7B" w:themeColor="accent3" w:themeShade="BF"/>
          <w:sz w:val="24"/>
          <w:szCs w:val="24"/>
        </w:rPr>
      </w:pPr>
      <w:r w:rsidRPr="006B5E6E">
        <w:rPr>
          <w:b/>
          <w:color w:val="7B7B7B" w:themeColor="accent3" w:themeShade="BF"/>
          <w:sz w:val="24"/>
          <w:szCs w:val="24"/>
        </w:rPr>
        <w:t>Contextual Transformational Learning</w:t>
      </w:r>
    </w:p>
    <w:p w14:paraId="3955B302" w14:textId="4D0BE7EB" w:rsidR="00A42354" w:rsidRPr="00F44415" w:rsidRDefault="00A42354" w:rsidP="00875EC3">
      <w:pPr>
        <w:spacing w:after="0" w:line="276" w:lineRule="auto"/>
        <w:jc w:val="both"/>
        <w:rPr>
          <w:szCs w:val="24"/>
        </w:rPr>
      </w:pPr>
      <w:r w:rsidRPr="00F44415">
        <w:rPr>
          <w:szCs w:val="24"/>
        </w:rPr>
        <w:t>Programmes should equip graduates with skills around educational change management and knowledge translation that takes account of our African context</w:t>
      </w:r>
      <w:r w:rsidR="00893C07">
        <w:rPr>
          <w:szCs w:val="24"/>
        </w:rPr>
        <w:t>,</w:t>
      </w:r>
      <w:r w:rsidRPr="00F44415">
        <w:rPr>
          <w:szCs w:val="24"/>
        </w:rPr>
        <w:t xml:space="preserve"> and specifically foster transformational learning that will enable social justice and removal of inequities (Leibowitz </w:t>
      </w:r>
      <w:r w:rsidR="00893C07">
        <w:rPr>
          <w:szCs w:val="24"/>
        </w:rPr>
        <w:t>&amp;</w:t>
      </w:r>
      <w:r w:rsidR="00893C07" w:rsidRPr="00F44415">
        <w:rPr>
          <w:szCs w:val="24"/>
        </w:rPr>
        <w:t xml:space="preserve"> </w:t>
      </w:r>
      <w:proofErr w:type="spellStart"/>
      <w:r w:rsidRPr="00F44415">
        <w:rPr>
          <w:szCs w:val="24"/>
        </w:rPr>
        <w:t>Bozalek</w:t>
      </w:r>
      <w:proofErr w:type="spellEnd"/>
      <w:r w:rsidRPr="00F44415">
        <w:rPr>
          <w:szCs w:val="24"/>
        </w:rPr>
        <w:t xml:space="preserve"> 2016). </w:t>
      </w:r>
    </w:p>
    <w:p w14:paraId="27C134B0" w14:textId="77777777" w:rsidR="00A42354" w:rsidRPr="00F44415" w:rsidRDefault="00A42354" w:rsidP="00875EC3">
      <w:pPr>
        <w:spacing w:after="0" w:line="276" w:lineRule="auto"/>
        <w:jc w:val="both"/>
        <w:rPr>
          <w:szCs w:val="24"/>
        </w:rPr>
      </w:pPr>
    </w:p>
    <w:p w14:paraId="3A0EF910" w14:textId="77562E19" w:rsidR="00A42354" w:rsidRPr="00F44415" w:rsidRDefault="00A42354" w:rsidP="00875EC3">
      <w:pPr>
        <w:spacing w:after="0" w:line="276" w:lineRule="auto"/>
        <w:jc w:val="both"/>
        <w:rPr>
          <w:szCs w:val="24"/>
        </w:rPr>
      </w:pPr>
      <w:r w:rsidRPr="00F44415">
        <w:rPr>
          <w:rFonts w:cs="Times New Roman"/>
          <w:szCs w:val="24"/>
        </w:rPr>
        <w:t>As transition is a dynamic process, it requires change and coping strategies while the individual is faced with new challenges, opportunities, ranges of emotion (positive and negative) and stress (</w:t>
      </w:r>
      <w:proofErr w:type="spellStart"/>
      <w:r w:rsidRPr="00F44415">
        <w:rPr>
          <w:rFonts w:cs="Times New Roman"/>
          <w:szCs w:val="24"/>
        </w:rPr>
        <w:t>Teunissen</w:t>
      </w:r>
      <w:proofErr w:type="spellEnd"/>
      <w:r w:rsidRPr="00F44415">
        <w:rPr>
          <w:rFonts w:cs="Times New Roman"/>
          <w:szCs w:val="24"/>
        </w:rPr>
        <w:t xml:space="preserve"> </w:t>
      </w:r>
      <w:r w:rsidR="00CB6B07">
        <w:rPr>
          <w:rFonts w:cs="Times New Roman"/>
          <w:szCs w:val="24"/>
        </w:rPr>
        <w:t>&amp;</w:t>
      </w:r>
      <w:r w:rsidR="00CB6B07" w:rsidRPr="00F44415">
        <w:rPr>
          <w:rFonts w:cs="Times New Roman"/>
          <w:szCs w:val="24"/>
        </w:rPr>
        <w:t xml:space="preserve"> </w:t>
      </w:r>
      <w:proofErr w:type="spellStart"/>
      <w:r w:rsidRPr="00F44415">
        <w:rPr>
          <w:rFonts w:cs="Times New Roman"/>
          <w:szCs w:val="24"/>
        </w:rPr>
        <w:t>Westerman</w:t>
      </w:r>
      <w:proofErr w:type="spellEnd"/>
      <w:r w:rsidRPr="00F44415">
        <w:rPr>
          <w:rFonts w:cs="Times New Roman"/>
          <w:szCs w:val="24"/>
        </w:rPr>
        <w:t xml:space="preserve"> 2010; McMillan 2015</w:t>
      </w:r>
      <w:r w:rsidR="00CB6B07">
        <w:rPr>
          <w:rFonts w:cs="Times New Roman"/>
          <w:szCs w:val="24"/>
        </w:rPr>
        <w:t>;</w:t>
      </w:r>
      <w:r w:rsidRPr="00F44415">
        <w:rPr>
          <w:rFonts w:cs="Times New Roman"/>
          <w:szCs w:val="24"/>
        </w:rPr>
        <w:t xml:space="preserve"> Frantz </w:t>
      </w:r>
      <w:r w:rsidR="00CB6B07">
        <w:rPr>
          <w:rFonts w:cs="Times New Roman"/>
          <w:szCs w:val="24"/>
        </w:rPr>
        <w:t>&amp;</w:t>
      </w:r>
      <w:r w:rsidR="00CB6B07" w:rsidRPr="00F44415">
        <w:rPr>
          <w:rFonts w:cs="Times New Roman"/>
          <w:szCs w:val="24"/>
        </w:rPr>
        <w:t xml:space="preserve"> </w:t>
      </w:r>
      <w:r w:rsidRPr="00F44415">
        <w:rPr>
          <w:rFonts w:cs="Times New Roman"/>
          <w:szCs w:val="24"/>
        </w:rPr>
        <w:t xml:space="preserve">Smith 2013). </w:t>
      </w:r>
      <w:r w:rsidRPr="00F44415">
        <w:rPr>
          <w:szCs w:val="24"/>
        </w:rPr>
        <w:t xml:space="preserve">Postgraduate programmes in medical education should help their students identify tensions in becoming clinician-educators and in developing coping strategies. </w:t>
      </w:r>
      <w:r w:rsidRPr="00F44415">
        <w:rPr>
          <w:rFonts w:cs="Times New Roman"/>
          <w:szCs w:val="24"/>
        </w:rPr>
        <w:t xml:space="preserve">Optimally preparing individuals for a transition includes helping them to cope with change, to recognize learning opportunities and to take responsibility for their own learning processes and outcomes (Hannon 2000; White 2007). </w:t>
      </w:r>
      <w:r w:rsidRPr="00F44415">
        <w:rPr>
          <w:szCs w:val="24"/>
        </w:rPr>
        <w:t xml:space="preserve">It is important to help them create synergy rather than tension between the values and skills of different disciplines. </w:t>
      </w:r>
    </w:p>
    <w:p w14:paraId="6B75AC55" w14:textId="77777777" w:rsidR="00A42354" w:rsidRPr="00F44415" w:rsidRDefault="00A42354" w:rsidP="00875EC3">
      <w:pPr>
        <w:spacing w:after="0" w:line="276" w:lineRule="auto"/>
        <w:jc w:val="both"/>
        <w:rPr>
          <w:rFonts w:cs="Times New Roman"/>
          <w:szCs w:val="24"/>
        </w:rPr>
      </w:pPr>
    </w:p>
    <w:p w14:paraId="1C612AB3" w14:textId="4033694C" w:rsidR="00A42354" w:rsidRPr="00F44415" w:rsidRDefault="00A42354" w:rsidP="00875EC3">
      <w:pPr>
        <w:spacing w:after="0" w:line="276" w:lineRule="auto"/>
        <w:jc w:val="both"/>
        <w:rPr>
          <w:rFonts w:cs="Times New Roman"/>
          <w:szCs w:val="24"/>
        </w:rPr>
      </w:pPr>
      <w:r w:rsidRPr="00F44415">
        <w:rPr>
          <w:rFonts w:cs="Times New Roman"/>
          <w:szCs w:val="24"/>
        </w:rPr>
        <w:t>Regardless of the reported dissonance and discomfort experienced during year one, the MPhil programme was viewed as relevant and stimulating, leading to new insights and meaning</w:t>
      </w:r>
      <w:r w:rsidR="00C122A1">
        <w:rPr>
          <w:rFonts w:cs="Times New Roman"/>
          <w:szCs w:val="24"/>
        </w:rPr>
        <w:t>:</w:t>
      </w:r>
      <w:r w:rsidRPr="00F44415">
        <w:rPr>
          <w:rFonts w:cs="Times New Roman"/>
          <w:szCs w:val="24"/>
        </w:rPr>
        <w:t xml:space="preserve"> </w:t>
      </w:r>
    </w:p>
    <w:p w14:paraId="56AFC535" w14:textId="77777777" w:rsidR="00875EC3" w:rsidRPr="00F44415" w:rsidRDefault="00875EC3" w:rsidP="00875EC3">
      <w:pPr>
        <w:spacing w:after="0" w:line="240" w:lineRule="auto"/>
        <w:ind w:left="720"/>
        <w:jc w:val="both"/>
        <w:rPr>
          <w:rFonts w:cs="Times New Roman"/>
          <w:i/>
          <w:szCs w:val="24"/>
          <w:lang w:eastAsia="en-ZA"/>
        </w:rPr>
      </w:pPr>
    </w:p>
    <w:p w14:paraId="302D543A" w14:textId="77777777" w:rsidR="00A42354" w:rsidRPr="00F44415" w:rsidRDefault="00A42354" w:rsidP="002750EE">
      <w:pPr>
        <w:spacing w:after="0" w:line="240" w:lineRule="auto"/>
        <w:ind w:left="567" w:right="567"/>
        <w:jc w:val="both"/>
        <w:rPr>
          <w:rFonts w:cs="Times New Roman"/>
          <w:szCs w:val="24"/>
        </w:rPr>
      </w:pPr>
      <w:r w:rsidRPr="00F44415">
        <w:rPr>
          <w:rFonts w:cs="Times New Roman"/>
          <w:szCs w:val="24"/>
          <w:lang w:eastAsia="en-ZA"/>
        </w:rPr>
        <w:t>The world opened and I’ve actually discovered how little I know and how much information is available on everything; and that was a satisfying experience</w:t>
      </w:r>
      <w:r w:rsidR="008F71BA" w:rsidRPr="00F44415">
        <w:rPr>
          <w:rFonts w:cs="Times New Roman"/>
          <w:szCs w:val="24"/>
          <w:lang w:eastAsia="en-ZA"/>
        </w:rPr>
        <w:t xml:space="preserve"> </w:t>
      </w:r>
      <w:r w:rsidRPr="00F44415">
        <w:rPr>
          <w:rFonts w:cs="Times New Roman"/>
          <w:szCs w:val="24"/>
          <w:lang w:eastAsia="en-ZA"/>
        </w:rPr>
        <w:t xml:space="preserve">… </w:t>
      </w:r>
      <w:r w:rsidRPr="00F44415">
        <w:rPr>
          <w:rFonts w:cs="Times New Roman"/>
          <w:szCs w:val="24"/>
        </w:rPr>
        <w:t>(Participant 2)</w:t>
      </w:r>
    </w:p>
    <w:p w14:paraId="560503F8" w14:textId="77777777" w:rsidR="008F71BA" w:rsidRPr="00F44415" w:rsidRDefault="008F71BA" w:rsidP="002750EE">
      <w:pPr>
        <w:spacing w:after="0" w:line="240" w:lineRule="auto"/>
        <w:ind w:left="567" w:right="567"/>
        <w:jc w:val="both"/>
        <w:rPr>
          <w:rFonts w:cs="Times New Roman"/>
          <w:szCs w:val="24"/>
        </w:rPr>
      </w:pPr>
    </w:p>
    <w:p w14:paraId="19762533" w14:textId="77777777" w:rsidR="00A42354" w:rsidRPr="00F44415" w:rsidRDefault="00A42354" w:rsidP="002750EE">
      <w:pPr>
        <w:spacing w:after="0" w:line="240" w:lineRule="auto"/>
        <w:ind w:left="567" w:right="567"/>
        <w:jc w:val="both"/>
        <w:rPr>
          <w:rFonts w:cs="Times New Roman"/>
          <w:szCs w:val="24"/>
        </w:rPr>
      </w:pPr>
      <w:r w:rsidRPr="00F44415">
        <w:rPr>
          <w:rFonts w:cs="Times New Roman"/>
          <w:szCs w:val="24"/>
          <w:lang w:eastAsia="en-ZA"/>
        </w:rPr>
        <w:t>Overall positive, and enjoyable</w:t>
      </w:r>
      <w:r w:rsidR="002750EE" w:rsidRPr="00F44415">
        <w:rPr>
          <w:rFonts w:cs="Times New Roman"/>
          <w:szCs w:val="24"/>
          <w:lang w:eastAsia="en-ZA"/>
        </w:rPr>
        <w:t xml:space="preserve"> </w:t>
      </w:r>
      <w:r w:rsidRPr="00F44415">
        <w:rPr>
          <w:rFonts w:cs="Times New Roman"/>
          <w:szCs w:val="24"/>
          <w:lang w:eastAsia="en-ZA"/>
        </w:rPr>
        <w:t>…</w:t>
      </w:r>
      <w:r w:rsidR="002750EE" w:rsidRPr="00F44415">
        <w:rPr>
          <w:rFonts w:cs="Times New Roman"/>
          <w:szCs w:val="24"/>
          <w:lang w:eastAsia="en-ZA"/>
        </w:rPr>
        <w:t xml:space="preserve"> </w:t>
      </w:r>
      <w:r w:rsidRPr="00F44415">
        <w:rPr>
          <w:rFonts w:cs="Times New Roman"/>
          <w:szCs w:val="24"/>
          <w:lang w:eastAsia="en-ZA"/>
        </w:rPr>
        <w:t xml:space="preserve">forced me to look deep. </w:t>
      </w:r>
      <w:r w:rsidRPr="00F44415">
        <w:rPr>
          <w:rFonts w:cs="Times New Roman"/>
          <w:szCs w:val="24"/>
        </w:rPr>
        <w:t>(Participant 4)</w:t>
      </w:r>
    </w:p>
    <w:p w14:paraId="647DE2C7" w14:textId="77777777" w:rsidR="00A42354" w:rsidRPr="00F44415" w:rsidRDefault="00A42354" w:rsidP="002750EE">
      <w:pPr>
        <w:spacing w:after="0" w:line="240" w:lineRule="auto"/>
        <w:ind w:left="567" w:right="567"/>
        <w:jc w:val="both"/>
        <w:rPr>
          <w:rFonts w:cs="Times New Roman"/>
          <w:szCs w:val="24"/>
        </w:rPr>
      </w:pPr>
      <w:r w:rsidRPr="00F44415">
        <w:rPr>
          <w:rFonts w:cs="Times New Roman"/>
          <w:szCs w:val="24"/>
          <w:lang w:eastAsia="en-ZA"/>
        </w:rPr>
        <w:t>Overwhelmingly positive</w:t>
      </w:r>
      <w:r w:rsidR="008F71BA" w:rsidRPr="00F44415">
        <w:rPr>
          <w:rFonts w:cs="Times New Roman"/>
          <w:szCs w:val="24"/>
          <w:lang w:eastAsia="en-ZA"/>
        </w:rPr>
        <w:t xml:space="preserve"> </w:t>
      </w:r>
      <w:r w:rsidRPr="00F44415">
        <w:rPr>
          <w:rFonts w:cs="Times New Roman"/>
          <w:szCs w:val="24"/>
          <w:lang w:eastAsia="en-ZA"/>
        </w:rPr>
        <w:t>…</w:t>
      </w:r>
      <w:r w:rsidR="008F71BA" w:rsidRPr="00F44415">
        <w:rPr>
          <w:rFonts w:cs="Times New Roman"/>
          <w:szCs w:val="24"/>
          <w:lang w:eastAsia="en-ZA"/>
        </w:rPr>
        <w:t xml:space="preserve"> </w:t>
      </w:r>
      <w:r w:rsidRPr="00F44415">
        <w:rPr>
          <w:rFonts w:cs="Times New Roman"/>
          <w:szCs w:val="24"/>
          <w:lang w:eastAsia="en-ZA"/>
        </w:rPr>
        <w:t>grateful that I have pushed on</w:t>
      </w:r>
      <w:r w:rsidR="008F71BA" w:rsidRPr="00F44415">
        <w:rPr>
          <w:rFonts w:cs="Times New Roman"/>
          <w:szCs w:val="24"/>
          <w:lang w:eastAsia="en-ZA"/>
        </w:rPr>
        <w:t xml:space="preserve"> </w:t>
      </w:r>
      <w:r w:rsidRPr="00F44415">
        <w:rPr>
          <w:rFonts w:cs="Times New Roman"/>
          <w:szCs w:val="24"/>
          <w:lang w:eastAsia="en-ZA"/>
        </w:rPr>
        <w:t xml:space="preserve">… </w:t>
      </w:r>
      <w:r w:rsidRPr="00F44415">
        <w:rPr>
          <w:rFonts w:cs="Times New Roman"/>
          <w:szCs w:val="24"/>
        </w:rPr>
        <w:t>(Participant 7)</w:t>
      </w:r>
    </w:p>
    <w:p w14:paraId="4C71D08C" w14:textId="77777777" w:rsidR="00A42354" w:rsidRPr="00F44415" w:rsidRDefault="00A42354" w:rsidP="00875EC3">
      <w:pPr>
        <w:spacing w:after="0" w:line="276" w:lineRule="auto"/>
        <w:jc w:val="both"/>
        <w:rPr>
          <w:rFonts w:eastAsia="Times New Roman" w:cs="Times New Roman"/>
          <w:szCs w:val="24"/>
        </w:rPr>
      </w:pPr>
    </w:p>
    <w:p w14:paraId="455A660C" w14:textId="77777777" w:rsidR="00A42354" w:rsidRPr="00F44415" w:rsidRDefault="00A42354" w:rsidP="00875EC3">
      <w:pPr>
        <w:spacing w:after="0" w:line="276" w:lineRule="auto"/>
        <w:jc w:val="both"/>
        <w:rPr>
          <w:rFonts w:cs="Times New Roman"/>
          <w:szCs w:val="24"/>
        </w:rPr>
      </w:pPr>
      <w:r w:rsidRPr="00F44415">
        <w:rPr>
          <w:rFonts w:eastAsia="Times New Roman" w:cs="Times New Roman"/>
          <w:szCs w:val="24"/>
        </w:rPr>
        <w:t xml:space="preserve">While it appears as if the MPhil in HPE programme helped effect transformative learning in students, the success of this programme </w:t>
      </w:r>
      <w:r w:rsidRPr="00F44415">
        <w:rPr>
          <w:rFonts w:cs="Times New Roman"/>
          <w:szCs w:val="24"/>
        </w:rPr>
        <w:t>in facilitating transformative learning may only be measurable at a later stage. The impact of the Stellenbosch University Master’s programme on education and research outcomes, leadership in education, and community interaction should be the focus of future research. Further enquiry is also needed to understand the factors influencing the high attrition rate of this student cohort; it may have specific implications for the design and expansion of other postgraduate programme in HPE in the African context.</w:t>
      </w:r>
    </w:p>
    <w:p w14:paraId="3809B65F" w14:textId="77777777" w:rsidR="00A42354" w:rsidRPr="008B2A40" w:rsidRDefault="00A42354" w:rsidP="00875EC3">
      <w:pPr>
        <w:spacing w:after="0" w:line="276" w:lineRule="auto"/>
        <w:jc w:val="both"/>
        <w:rPr>
          <w:rFonts w:cs="Times New Roman"/>
          <w:b/>
          <w:color w:val="7B7B7B" w:themeColor="accent3" w:themeShade="BF"/>
          <w:sz w:val="24"/>
          <w:szCs w:val="24"/>
        </w:rPr>
      </w:pPr>
    </w:p>
    <w:p w14:paraId="67A63672" w14:textId="77777777" w:rsidR="00A42354" w:rsidRPr="008B2A40" w:rsidRDefault="00A42354" w:rsidP="00F43DE9">
      <w:pPr>
        <w:spacing w:line="276"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t>Limitations</w:t>
      </w:r>
    </w:p>
    <w:p w14:paraId="6571CE29" w14:textId="42ED2376" w:rsidR="00070AB1" w:rsidRPr="00F44415" w:rsidRDefault="00A42354" w:rsidP="00875EC3">
      <w:pPr>
        <w:spacing w:after="0" w:line="276" w:lineRule="auto"/>
        <w:jc w:val="both"/>
        <w:rPr>
          <w:rFonts w:cs="Times New Roman"/>
          <w:b/>
          <w:szCs w:val="24"/>
        </w:rPr>
      </w:pPr>
      <w:r w:rsidRPr="00F44415">
        <w:rPr>
          <w:rFonts w:cs="Times New Roman"/>
          <w:szCs w:val="24"/>
        </w:rPr>
        <w:t>This study was mainly based on self-reporting</w:t>
      </w:r>
      <w:r w:rsidR="0007485B">
        <w:rPr>
          <w:rFonts w:cs="Times New Roman"/>
          <w:szCs w:val="24"/>
        </w:rPr>
        <w:t>,</w:t>
      </w:r>
      <w:r w:rsidRPr="00F44415">
        <w:rPr>
          <w:rFonts w:cs="Times New Roman"/>
          <w:szCs w:val="24"/>
        </w:rPr>
        <w:t xml:space="preserve"> and captured the perceived resources available</w:t>
      </w:r>
      <w:r w:rsidR="0007485B">
        <w:rPr>
          <w:rFonts w:cs="Times New Roman"/>
          <w:szCs w:val="24"/>
        </w:rPr>
        <w:t xml:space="preserve"> for</w:t>
      </w:r>
      <w:r w:rsidRPr="00F44415">
        <w:rPr>
          <w:rFonts w:cs="Times New Roman"/>
          <w:szCs w:val="24"/>
        </w:rPr>
        <w:t>, and barriers to, the successful becoming of health professions educators. Despite the small number of participants, the study confirms and complements similar studies on the transition and tensions experienced by dual</w:t>
      </w:r>
      <w:r w:rsidR="0007485B">
        <w:rPr>
          <w:rFonts w:cs="Times New Roman"/>
          <w:szCs w:val="24"/>
        </w:rPr>
        <w:t>-</w:t>
      </w:r>
      <w:r w:rsidRPr="00F44415">
        <w:rPr>
          <w:rFonts w:cs="Times New Roman"/>
          <w:szCs w:val="24"/>
        </w:rPr>
        <w:t>discipline professionals whilst adding to the knowledge around training of health professions educators in an African context.</w:t>
      </w:r>
    </w:p>
    <w:p w14:paraId="53842B66" w14:textId="77777777" w:rsidR="00A26701" w:rsidRDefault="00A26701" w:rsidP="00F43DE9">
      <w:pPr>
        <w:spacing w:line="276" w:lineRule="auto"/>
        <w:jc w:val="both"/>
        <w:rPr>
          <w:rFonts w:cs="Times New Roman"/>
          <w:b/>
          <w:color w:val="7B7B7B" w:themeColor="accent3" w:themeShade="BF"/>
          <w:sz w:val="24"/>
          <w:szCs w:val="24"/>
        </w:rPr>
      </w:pPr>
    </w:p>
    <w:p w14:paraId="6FD9571C" w14:textId="7896C237" w:rsidR="00A42354" w:rsidRPr="00A26701" w:rsidRDefault="00A26701" w:rsidP="00F43DE9">
      <w:pPr>
        <w:spacing w:line="276" w:lineRule="auto"/>
        <w:jc w:val="both"/>
        <w:rPr>
          <w:rFonts w:cs="Times New Roman"/>
          <w:b/>
          <w:color w:val="7B7B7B" w:themeColor="accent3" w:themeShade="BF"/>
          <w:sz w:val="28"/>
          <w:szCs w:val="24"/>
        </w:rPr>
      </w:pPr>
      <w:r w:rsidRPr="00A26701">
        <w:rPr>
          <w:rFonts w:cs="Times New Roman"/>
          <w:b/>
          <w:color w:val="7B7B7B" w:themeColor="accent3" w:themeShade="BF"/>
          <w:sz w:val="28"/>
          <w:szCs w:val="24"/>
        </w:rPr>
        <w:lastRenderedPageBreak/>
        <w:t>Conclusion</w:t>
      </w:r>
    </w:p>
    <w:p w14:paraId="7FEFB060" w14:textId="6622FFDA" w:rsidR="00A42354" w:rsidRPr="00F44415" w:rsidRDefault="00A42354" w:rsidP="00875EC3">
      <w:pPr>
        <w:spacing w:after="0" w:line="276" w:lineRule="auto"/>
        <w:jc w:val="both"/>
        <w:rPr>
          <w:rFonts w:cs="Times New Roman"/>
          <w:szCs w:val="24"/>
        </w:rPr>
      </w:pPr>
      <w:r w:rsidRPr="00F44415">
        <w:rPr>
          <w:rFonts w:cs="Times New Roman"/>
          <w:szCs w:val="24"/>
        </w:rPr>
        <w:t>This study sheds light on how a diverse group of students enrolled in a Master</w:t>
      </w:r>
      <w:r w:rsidR="00BB4BCD">
        <w:rPr>
          <w:rFonts w:cs="Times New Roman"/>
          <w:szCs w:val="24"/>
        </w:rPr>
        <w:t>’</w:t>
      </w:r>
      <w:r w:rsidRPr="00F44415">
        <w:rPr>
          <w:rFonts w:cs="Times New Roman"/>
          <w:szCs w:val="24"/>
        </w:rPr>
        <w:t>s programme in health professions education in an African context, describe their experiences whilst transitioning from a health science to an educational scholarship paradigm. As health professions education develops into a more defined field, the training of educators in the South needs to be strengthened and supported. These findings highlighted the many benefits, but also challenges and disorienting dilemmas</w:t>
      </w:r>
      <w:r w:rsidR="008C7D80">
        <w:rPr>
          <w:rFonts w:cs="Times New Roman"/>
          <w:szCs w:val="24"/>
        </w:rPr>
        <w:t>,</w:t>
      </w:r>
      <w:r w:rsidRPr="00F44415">
        <w:rPr>
          <w:rFonts w:cs="Times New Roman"/>
          <w:szCs w:val="24"/>
        </w:rPr>
        <w:t xml:space="preserve"> faced by students enrolled in a Master</w:t>
      </w:r>
      <w:r w:rsidR="00BB4BCD">
        <w:rPr>
          <w:rFonts w:cs="Times New Roman"/>
          <w:szCs w:val="24"/>
        </w:rPr>
        <w:t>’</w:t>
      </w:r>
      <w:r w:rsidRPr="00F44415">
        <w:rPr>
          <w:rFonts w:cs="Times New Roman"/>
          <w:szCs w:val="24"/>
        </w:rPr>
        <w:t>s programme in an African university setting. The transition of postgraduate students from a health science to an educational scholarship paradigm could be supported by programme and career</w:t>
      </w:r>
      <w:r w:rsidR="008C7D80">
        <w:rPr>
          <w:rFonts w:cs="Times New Roman"/>
          <w:szCs w:val="24"/>
        </w:rPr>
        <w:t>-</w:t>
      </w:r>
      <w:r w:rsidRPr="00F44415">
        <w:rPr>
          <w:rFonts w:cs="Times New Roman"/>
          <w:szCs w:val="24"/>
        </w:rPr>
        <w:t>goal alignment as part of admission</w:t>
      </w:r>
      <w:r w:rsidR="008C7D80">
        <w:rPr>
          <w:rFonts w:cs="Times New Roman"/>
          <w:szCs w:val="24"/>
        </w:rPr>
        <w:t xml:space="preserve"> </w:t>
      </w:r>
      <w:r w:rsidRPr="00F44415">
        <w:rPr>
          <w:rFonts w:cs="Times New Roman"/>
          <w:szCs w:val="24"/>
        </w:rPr>
        <w:t xml:space="preserve">entry criteria, certain curriculum reforms, participatory research, and continued support as part of a ‘community of practice’ during and after completion of a </w:t>
      </w:r>
      <w:r w:rsidR="00BB4BCD" w:rsidRPr="00F44415">
        <w:rPr>
          <w:rFonts w:cs="Times New Roman"/>
          <w:szCs w:val="24"/>
        </w:rPr>
        <w:t>Master’s</w:t>
      </w:r>
      <w:r w:rsidRPr="00F44415">
        <w:rPr>
          <w:rFonts w:cs="Times New Roman"/>
          <w:szCs w:val="24"/>
        </w:rPr>
        <w:t xml:space="preserve"> programme in Health Professions Education. </w:t>
      </w:r>
    </w:p>
    <w:p w14:paraId="294E3F99" w14:textId="77777777" w:rsidR="00A42354" w:rsidRPr="008B2A40" w:rsidRDefault="00A42354" w:rsidP="00875EC3">
      <w:pPr>
        <w:spacing w:after="0" w:line="276" w:lineRule="auto"/>
        <w:jc w:val="both"/>
        <w:rPr>
          <w:rFonts w:cs="Times New Roman"/>
          <w:b/>
          <w:color w:val="7B7B7B" w:themeColor="accent3" w:themeShade="BF"/>
          <w:sz w:val="24"/>
          <w:szCs w:val="24"/>
        </w:rPr>
      </w:pPr>
    </w:p>
    <w:p w14:paraId="2C5C256D" w14:textId="77777777" w:rsidR="008B5C93" w:rsidRPr="008B2A40" w:rsidRDefault="008B5C93" w:rsidP="00875EC3">
      <w:pPr>
        <w:spacing w:after="0" w:line="276" w:lineRule="auto"/>
        <w:jc w:val="both"/>
        <w:rPr>
          <w:rFonts w:cs="Times New Roman"/>
          <w:b/>
          <w:color w:val="7B7B7B" w:themeColor="accent3" w:themeShade="BF"/>
          <w:sz w:val="24"/>
          <w:szCs w:val="24"/>
        </w:rPr>
      </w:pPr>
    </w:p>
    <w:p w14:paraId="7814DFDF" w14:textId="77777777" w:rsidR="00A42354" w:rsidRPr="008B2A40" w:rsidRDefault="00A42354" w:rsidP="00875EC3">
      <w:pPr>
        <w:spacing w:line="276"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t>Acknowledgements</w:t>
      </w:r>
    </w:p>
    <w:p w14:paraId="53DD7029" w14:textId="67BE2C9A" w:rsidR="00A42354" w:rsidRPr="00F44415" w:rsidRDefault="00A42354" w:rsidP="00875EC3">
      <w:pPr>
        <w:spacing w:after="0" w:line="276" w:lineRule="auto"/>
        <w:jc w:val="both"/>
        <w:rPr>
          <w:rFonts w:cs="Times New Roman"/>
          <w:szCs w:val="24"/>
        </w:rPr>
      </w:pPr>
      <w:r w:rsidRPr="00F44415">
        <w:rPr>
          <w:rFonts w:cs="Times New Roman"/>
          <w:szCs w:val="24"/>
        </w:rPr>
        <w:t xml:space="preserve">We would like to sincerely thank Prof Brenda Leibowitz who introduced us to the SOTL as module </w:t>
      </w:r>
      <w:r w:rsidR="002D4421" w:rsidRPr="00F44415">
        <w:rPr>
          <w:rFonts w:cs="Times New Roman"/>
          <w:szCs w:val="24"/>
        </w:rPr>
        <w:t>convener</w:t>
      </w:r>
      <w:r w:rsidRPr="00F44415">
        <w:rPr>
          <w:rFonts w:cs="Times New Roman"/>
          <w:szCs w:val="24"/>
        </w:rPr>
        <w:t xml:space="preserve"> of the </w:t>
      </w:r>
      <w:r w:rsidRPr="00F44415">
        <w:rPr>
          <w:rFonts w:cs="Arial"/>
          <w:szCs w:val="24"/>
          <w:lang w:bidi="th-TH"/>
        </w:rPr>
        <w:t xml:space="preserve">‘Educational Research for Change in Health Science Education’ module. Her </w:t>
      </w:r>
      <w:r w:rsidRPr="00F44415">
        <w:rPr>
          <w:rFonts w:cs="Times New Roman"/>
          <w:szCs w:val="24"/>
        </w:rPr>
        <w:t>expert guidance and encouragement during the participatory process enabled us to not only learn, but apply new knowledge and skills. This article would not have been possible without her support.</w:t>
      </w:r>
    </w:p>
    <w:p w14:paraId="7124C25D" w14:textId="77777777" w:rsidR="00875EC3" w:rsidRPr="00F44415" w:rsidRDefault="00875EC3" w:rsidP="00875EC3">
      <w:pPr>
        <w:spacing w:after="0" w:line="276" w:lineRule="auto"/>
        <w:jc w:val="both"/>
        <w:rPr>
          <w:rFonts w:cs="Arial"/>
          <w:szCs w:val="24"/>
          <w:lang w:bidi="th-TH"/>
        </w:rPr>
      </w:pPr>
    </w:p>
    <w:p w14:paraId="2A415216" w14:textId="77777777" w:rsidR="00A42354" w:rsidRPr="00F44415" w:rsidRDefault="00A42354" w:rsidP="00875EC3">
      <w:pPr>
        <w:spacing w:after="0" w:line="276" w:lineRule="auto"/>
        <w:jc w:val="both"/>
        <w:rPr>
          <w:rFonts w:cs="Times New Roman"/>
          <w:szCs w:val="24"/>
        </w:rPr>
      </w:pPr>
      <w:r w:rsidRPr="00F44415">
        <w:rPr>
          <w:rFonts w:cs="Times New Roman"/>
          <w:szCs w:val="24"/>
        </w:rPr>
        <w:t>We also want to thank our fellow MPhil in HPE colleagues for sharing their interview reports and participating in the focus group discussion.</w:t>
      </w:r>
    </w:p>
    <w:p w14:paraId="69759A65" w14:textId="77777777" w:rsidR="00A42354" w:rsidRDefault="00A42354" w:rsidP="00875EC3">
      <w:pPr>
        <w:spacing w:after="0" w:line="276" w:lineRule="auto"/>
        <w:jc w:val="both"/>
        <w:rPr>
          <w:rFonts w:cs="Times New Roman"/>
          <w:sz w:val="24"/>
          <w:szCs w:val="24"/>
        </w:rPr>
      </w:pPr>
    </w:p>
    <w:p w14:paraId="0C2C98C4" w14:textId="77777777" w:rsidR="00214EB2" w:rsidRPr="008B2A40" w:rsidRDefault="00214EB2" w:rsidP="00875EC3">
      <w:pPr>
        <w:spacing w:after="0" w:line="276" w:lineRule="auto"/>
        <w:jc w:val="both"/>
        <w:rPr>
          <w:rFonts w:cs="Times New Roman"/>
          <w:b/>
          <w:sz w:val="24"/>
          <w:szCs w:val="24"/>
        </w:rPr>
      </w:pPr>
      <w:bookmarkStart w:id="4" w:name="_GoBack"/>
      <w:bookmarkEnd w:id="4"/>
    </w:p>
    <w:p w14:paraId="2514428A" w14:textId="4632E124" w:rsidR="00875EC3" w:rsidRPr="009A4A3D" w:rsidRDefault="008B5C93" w:rsidP="009A4A3D">
      <w:pPr>
        <w:spacing w:line="240" w:lineRule="auto"/>
        <w:jc w:val="both"/>
        <w:rPr>
          <w:rFonts w:cs="Times New Roman"/>
          <w:b/>
          <w:color w:val="7B7B7B" w:themeColor="accent3" w:themeShade="BF"/>
          <w:sz w:val="24"/>
          <w:szCs w:val="24"/>
        </w:rPr>
      </w:pPr>
      <w:r w:rsidRPr="008B2A40">
        <w:rPr>
          <w:rFonts w:cs="Times New Roman"/>
          <w:b/>
          <w:color w:val="7B7B7B" w:themeColor="accent3" w:themeShade="BF"/>
          <w:sz w:val="24"/>
          <w:szCs w:val="24"/>
        </w:rPr>
        <w:t>References</w:t>
      </w:r>
    </w:p>
    <w:p w14:paraId="15498113" w14:textId="25039A10" w:rsidR="00A42354" w:rsidRPr="00F44415" w:rsidRDefault="00A42354" w:rsidP="00875EC3">
      <w:pPr>
        <w:spacing w:after="0" w:line="240" w:lineRule="auto"/>
        <w:jc w:val="both"/>
      </w:pPr>
      <w:r w:rsidRPr="00F44415">
        <w:t xml:space="preserve">Adams, R. 2011. Exploring dual professional identities, the role of the nurse tutor in higher education in the UK: role complexity and tensions. </w:t>
      </w:r>
      <w:r w:rsidRPr="00F44415">
        <w:rPr>
          <w:i/>
        </w:rPr>
        <w:t>Journal of Advanced Nursing</w:t>
      </w:r>
      <w:r w:rsidRPr="00F44415">
        <w:t xml:space="preserve"> 67(4)</w:t>
      </w:r>
      <w:r w:rsidR="0018580B">
        <w:t>:</w:t>
      </w:r>
      <w:r w:rsidRPr="00F44415">
        <w:t xml:space="preserve"> 884-892. </w:t>
      </w:r>
    </w:p>
    <w:p w14:paraId="3FE980AE" w14:textId="77777777" w:rsidR="00875EC3" w:rsidRPr="00F44415" w:rsidRDefault="00875EC3" w:rsidP="00875EC3">
      <w:pPr>
        <w:spacing w:after="0" w:line="240" w:lineRule="auto"/>
        <w:jc w:val="both"/>
        <w:rPr>
          <w:rFonts w:cs="Times New Roman"/>
        </w:rPr>
      </w:pPr>
    </w:p>
    <w:p w14:paraId="7BFA77B0" w14:textId="3EDA7BAB" w:rsidR="00A42354" w:rsidRPr="00F44415" w:rsidRDefault="00A42354" w:rsidP="00875EC3">
      <w:pPr>
        <w:spacing w:after="0" w:line="240" w:lineRule="auto"/>
        <w:jc w:val="both"/>
        <w:rPr>
          <w:rFonts w:cs="Times New Roman"/>
        </w:rPr>
      </w:pPr>
      <w:proofErr w:type="spellStart"/>
      <w:r w:rsidRPr="00F44415">
        <w:rPr>
          <w:rFonts w:cs="Times New Roman"/>
        </w:rPr>
        <w:t>Adendorff</w:t>
      </w:r>
      <w:proofErr w:type="spellEnd"/>
      <w:r w:rsidRPr="00F44415">
        <w:rPr>
          <w:rFonts w:cs="Times New Roman"/>
        </w:rPr>
        <w:t xml:space="preserve">, H. 2011. Strangers in a Strange Land – on Becoming Scholars of Teaching. </w:t>
      </w:r>
      <w:r w:rsidRPr="00F44415">
        <w:rPr>
          <w:rFonts w:cs="Times New Roman"/>
          <w:i/>
        </w:rPr>
        <w:t>London review of Education</w:t>
      </w:r>
      <w:r w:rsidR="00E574AD">
        <w:rPr>
          <w:rFonts w:cs="Times New Roman"/>
        </w:rPr>
        <w:t xml:space="preserve"> </w:t>
      </w:r>
      <w:r w:rsidRPr="00F44415">
        <w:rPr>
          <w:rFonts w:cs="Times New Roman"/>
        </w:rPr>
        <w:t>9(3)</w:t>
      </w:r>
      <w:r w:rsidR="00E574AD">
        <w:rPr>
          <w:rFonts w:cs="Times New Roman"/>
        </w:rPr>
        <w:t xml:space="preserve">: </w:t>
      </w:r>
      <w:r w:rsidR="00FC2953">
        <w:rPr>
          <w:rFonts w:cs="Times New Roman"/>
        </w:rPr>
        <w:t>305-315.</w:t>
      </w:r>
    </w:p>
    <w:p w14:paraId="52CE8B08" w14:textId="77777777" w:rsidR="00875EC3" w:rsidRPr="00F44415" w:rsidRDefault="00875EC3" w:rsidP="00875EC3">
      <w:pPr>
        <w:spacing w:after="0" w:line="240" w:lineRule="auto"/>
        <w:jc w:val="both"/>
        <w:rPr>
          <w:rFonts w:cs="Times New Roman"/>
        </w:rPr>
      </w:pPr>
    </w:p>
    <w:p w14:paraId="58B8818E" w14:textId="5EC71374" w:rsidR="00A42354" w:rsidRPr="00F44415" w:rsidRDefault="00A42354" w:rsidP="00875EC3">
      <w:pPr>
        <w:spacing w:after="0" w:line="240" w:lineRule="auto"/>
        <w:jc w:val="both"/>
        <w:rPr>
          <w:rFonts w:cs="Times New Roman"/>
        </w:rPr>
      </w:pPr>
      <w:r w:rsidRPr="00F44415">
        <w:rPr>
          <w:rFonts w:cs="Times New Roman"/>
        </w:rPr>
        <w:t xml:space="preserve">Bartle, E &amp; </w:t>
      </w:r>
      <w:proofErr w:type="spellStart"/>
      <w:r w:rsidRPr="00F44415">
        <w:rPr>
          <w:rFonts w:cs="Times New Roman"/>
        </w:rPr>
        <w:t>Thistlethwaite</w:t>
      </w:r>
      <w:proofErr w:type="spellEnd"/>
      <w:r w:rsidRPr="00F44415">
        <w:rPr>
          <w:rFonts w:cs="Times New Roman"/>
        </w:rPr>
        <w:t xml:space="preserve">, J. 2014. Becoming a medical educator: motivation, socialisation and navigation. </w:t>
      </w:r>
      <w:r w:rsidRPr="00F44415">
        <w:rPr>
          <w:rFonts w:cs="Times New Roman"/>
          <w:i/>
        </w:rPr>
        <w:t>BMC Medical Education</w:t>
      </w:r>
      <w:r w:rsidRPr="00F44415">
        <w:rPr>
          <w:rFonts w:cs="Times New Roman"/>
        </w:rPr>
        <w:t xml:space="preserve"> 14:</w:t>
      </w:r>
      <w:r w:rsidR="005C4820">
        <w:rPr>
          <w:rFonts w:cs="Times New Roman"/>
        </w:rPr>
        <w:t xml:space="preserve"> </w:t>
      </w:r>
      <w:r w:rsidRPr="00F44415">
        <w:rPr>
          <w:rFonts w:cs="Times New Roman"/>
        </w:rPr>
        <w:t>110</w:t>
      </w:r>
      <w:r w:rsidR="005C4820">
        <w:rPr>
          <w:rFonts w:cs="Times New Roman"/>
        </w:rPr>
        <w:t>.</w:t>
      </w:r>
      <w:r w:rsidRPr="00F44415">
        <w:rPr>
          <w:rFonts w:cs="Times New Roman"/>
        </w:rPr>
        <w:t xml:space="preserve"> </w:t>
      </w:r>
    </w:p>
    <w:p w14:paraId="394F01A6" w14:textId="77777777" w:rsidR="00875EC3" w:rsidRPr="00F44415" w:rsidRDefault="00875EC3" w:rsidP="00875EC3">
      <w:pPr>
        <w:spacing w:after="0" w:line="240" w:lineRule="auto"/>
        <w:jc w:val="both"/>
        <w:rPr>
          <w:rFonts w:cs="Times New Roman"/>
        </w:rPr>
      </w:pPr>
    </w:p>
    <w:p w14:paraId="26FF07B6" w14:textId="17EFDC77" w:rsidR="00A42354" w:rsidRPr="00F44415" w:rsidRDefault="00A42354" w:rsidP="00875EC3">
      <w:pPr>
        <w:spacing w:after="0" w:line="240" w:lineRule="auto"/>
        <w:jc w:val="both"/>
        <w:rPr>
          <w:rFonts w:cs="Times New Roman"/>
        </w:rPr>
      </w:pPr>
      <w:r w:rsidRPr="00F44415">
        <w:rPr>
          <w:rFonts w:cs="Times New Roman"/>
        </w:rPr>
        <w:t xml:space="preserve">Burch, V &amp; Reid, S. 2011. Fit for purpose? The appropriate education of health professionals in South Africa. </w:t>
      </w:r>
      <w:r w:rsidRPr="00F44415">
        <w:rPr>
          <w:rFonts w:cs="Times New Roman"/>
          <w:i/>
        </w:rPr>
        <w:t>SAMJ</w:t>
      </w:r>
      <w:r w:rsidR="00C71C55">
        <w:rPr>
          <w:rFonts w:cs="Times New Roman"/>
        </w:rPr>
        <w:t xml:space="preserve"> </w:t>
      </w:r>
      <w:r w:rsidRPr="00F44415">
        <w:rPr>
          <w:rFonts w:cs="Times New Roman"/>
        </w:rPr>
        <w:t>101(1):24-25</w:t>
      </w:r>
      <w:r w:rsidR="00C71C55">
        <w:rPr>
          <w:rFonts w:cs="Times New Roman"/>
        </w:rPr>
        <w:t>.</w:t>
      </w:r>
    </w:p>
    <w:p w14:paraId="20D792C2" w14:textId="77777777" w:rsidR="00875EC3" w:rsidRPr="00F44415" w:rsidRDefault="00875EC3" w:rsidP="00875EC3">
      <w:pPr>
        <w:spacing w:after="0" w:line="240" w:lineRule="auto"/>
        <w:jc w:val="both"/>
        <w:rPr>
          <w:rFonts w:cs="Times New Roman"/>
        </w:rPr>
      </w:pPr>
    </w:p>
    <w:p w14:paraId="0B540D8E" w14:textId="16423C29" w:rsidR="00A42354" w:rsidRPr="00F44415" w:rsidRDefault="00A42354" w:rsidP="00875EC3">
      <w:pPr>
        <w:spacing w:after="0" w:line="240" w:lineRule="auto"/>
        <w:jc w:val="both"/>
        <w:rPr>
          <w:rFonts w:cs="Times New Roman"/>
        </w:rPr>
      </w:pPr>
      <w:r w:rsidRPr="00F44415">
        <w:rPr>
          <w:rFonts w:cs="Times New Roman"/>
        </w:rPr>
        <w:t xml:space="preserve">Chen, HC, </w:t>
      </w:r>
      <w:proofErr w:type="spellStart"/>
      <w:r w:rsidRPr="00F44415">
        <w:rPr>
          <w:rFonts w:cs="Times New Roman"/>
        </w:rPr>
        <w:t>Wamsley</w:t>
      </w:r>
      <w:proofErr w:type="spellEnd"/>
      <w:r w:rsidRPr="00F44415">
        <w:rPr>
          <w:rFonts w:cs="Times New Roman"/>
        </w:rPr>
        <w:t xml:space="preserve">, MA, </w:t>
      </w:r>
      <w:proofErr w:type="spellStart"/>
      <w:r w:rsidRPr="00F44415">
        <w:rPr>
          <w:rFonts w:cs="Times New Roman"/>
        </w:rPr>
        <w:t>Azzam</w:t>
      </w:r>
      <w:proofErr w:type="spellEnd"/>
      <w:r w:rsidRPr="00F44415">
        <w:rPr>
          <w:rFonts w:cs="Times New Roman"/>
        </w:rPr>
        <w:t xml:space="preserve">, A, Julian, K, Irby, DM </w:t>
      </w:r>
      <w:r w:rsidR="00C71C55">
        <w:rPr>
          <w:rFonts w:cs="Times New Roman"/>
        </w:rPr>
        <w:t>&amp;</w:t>
      </w:r>
      <w:r w:rsidR="00C71C55" w:rsidRPr="00F44415">
        <w:rPr>
          <w:rFonts w:cs="Times New Roman"/>
        </w:rPr>
        <w:t xml:space="preserve"> </w:t>
      </w:r>
      <w:r w:rsidRPr="00F44415">
        <w:rPr>
          <w:rFonts w:cs="Times New Roman"/>
        </w:rPr>
        <w:t xml:space="preserve">O’Sullivan, PS 2017. The Health Professions Pathway: </w:t>
      </w:r>
      <w:r w:rsidR="00C71C55">
        <w:rPr>
          <w:rFonts w:cs="Times New Roman"/>
        </w:rPr>
        <w:t>p</w:t>
      </w:r>
      <w:r w:rsidRPr="00F44415">
        <w:rPr>
          <w:rFonts w:cs="Times New Roman"/>
        </w:rPr>
        <w:t xml:space="preserve">reparing students, residents and fellows to become future educators. </w:t>
      </w:r>
      <w:r w:rsidRPr="00F44415">
        <w:rPr>
          <w:rFonts w:cs="Times New Roman"/>
          <w:i/>
        </w:rPr>
        <w:t>Teaching and Learning in Medicine</w:t>
      </w:r>
      <w:r w:rsidR="00C71C55">
        <w:rPr>
          <w:rFonts w:cs="Times New Roman"/>
        </w:rPr>
        <w:t xml:space="preserve"> </w:t>
      </w:r>
      <w:r w:rsidRPr="00F44415">
        <w:rPr>
          <w:rFonts w:cs="Times New Roman"/>
        </w:rPr>
        <w:t>29(2): 216-227</w:t>
      </w:r>
      <w:r w:rsidR="00C71C55">
        <w:rPr>
          <w:rFonts w:cs="Times New Roman"/>
        </w:rPr>
        <w:t>.</w:t>
      </w:r>
      <w:r w:rsidRPr="00F44415">
        <w:rPr>
          <w:rFonts w:cs="Times New Roman"/>
        </w:rPr>
        <w:t xml:space="preserve"> </w:t>
      </w:r>
    </w:p>
    <w:p w14:paraId="3298C8E5" w14:textId="77777777" w:rsidR="00875EC3" w:rsidRPr="00F44415" w:rsidRDefault="00875EC3" w:rsidP="00875EC3">
      <w:pPr>
        <w:spacing w:after="0" w:line="240" w:lineRule="auto"/>
        <w:jc w:val="both"/>
      </w:pPr>
    </w:p>
    <w:p w14:paraId="2A5FB789" w14:textId="1C837B62" w:rsidR="00A42354" w:rsidRPr="00F44415" w:rsidRDefault="00A42354" w:rsidP="00875EC3">
      <w:pPr>
        <w:spacing w:after="0" w:line="240" w:lineRule="auto"/>
        <w:jc w:val="both"/>
      </w:pPr>
      <w:r w:rsidRPr="00F44415">
        <w:t xml:space="preserve">Cooke, M, Irby, DM </w:t>
      </w:r>
      <w:r w:rsidR="00324576">
        <w:t>&amp;</w:t>
      </w:r>
      <w:r w:rsidR="00324576" w:rsidRPr="00F44415">
        <w:t xml:space="preserve"> </w:t>
      </w:r>
      <w:r w:rsidRPr="00F44415">
        <w:t xml:space="preserve">O’Brien, BC. 2010. </w:t>
      </w:r>
      <w:r w:rsidRPr="000B0981">
        <w:rPr>
          <w:i/>
        </w:rPr>
        <w:t xml:space="preserve">Educating Physicians: </w:t>
      </w:r>
      <w:r w:rsidR="00324576" w:rsidRPr="000B0981">
        <w:rPr>
          <w:i/>
        </w:rPr>
        <w:t>a</w:t>
      </w:r>
      <w:r w:rsidRPr="000B0981">
        <w:rPr>
          <w:i/>
        </w:rPr>
        <w:t xml:space="preserve"> call for Reform of Medical School and Residency.</w:t>
      </w:r>
      <w:r w:rsidRPr="00F44415">
        <w:t xml:space="preserve"> San Francisco, Calif: </w:t>
      </w:r>
      <w:proofErr w:type="spellStart"/>
      <w:r w:rsidRPr="00F44415">
        <w:t>Jossey</w:t>
      </w:r>
      <w:proofErr w:type="spellEnd"/>
      <w:r w:rsidRPr="00F44415">
        <w:t>-Bass.</w:t>
      </w:r>
    </w:p>
    <w:p w14:paraId="3510BB0B" w14:textId="77777777" w:rsidR="00875EC3" w:rsidRPr="00F44415" w:rsidRDefault="00875EC3" w:rsidP="00875EC3">
      <w:pPr>
        <w:spacing w:after="0" w:line="240" w:lineRule="auto"/>
        <w:jc w:val="both"/>
        <w:rPr>
          <w:rFonts w:cs="Times New Roman"/>
        </w:rPr>
      </w:pPr>
    </w:p>
    <w:p w14:paraId="5DE45848" w14:textId="060A9D68" w:rsidR="00A42354" w:rsidRPr="00F44415" w:rsidRDefault="00A42354" w:rsidP="00875EC3">
      <w:pPr>
        <w:spacing w:after="0" w:line="240" w:lineRule="auto"/>
        <w:jc w:val="both"/>
        <w:rPr>
          <w:rFonts w:eastAsia="Times New Roman" w:cs="Times New Roman"/>
        </w:rPr>
      </w:pPr>
      <w:proofErr w:type="spellStart"/>
      <w:r w:rsidRPr="00F44415">
        <w:rPr>
          <w:rFonts w:cs="Times New Roman"/>
        </w:rPr>
        <w:t>Cranton</w:t>
      </w:r>
      <w:proofErr w:type="spellEnd"/>
      <w:r w:rsidRPr="00F44415">
        <w:rPr>
          <w:rFonts w:cs="Times New Roman"/>
        </w:rPr>
        <w:t xml:space="preserve">, P. 2011. A transformative perspective on the scholarship of teaching and learning. </w:t>
      </w:r>
      <w:r w:rsidRPr="00F44415">
        <w:rPr>
          <w:rFonts w:cs="Times New Roman"/>
          <w:i/>
        </w:rPr>
        <w:t>Higher Education Research and Development</w:t>
      </w:r>
      <w:r w:rsidRPr="00F44415">
        <w:rPr>
          <w:rFonts w:cs="Times New Roman"/>
        </w:rPr>
        <w:t xml:space="preserve"> 30(1):</w:t>
      </w:r>
      <w:r w:rsidR="00E6383C">
        <w:rPr>
          <w:rFonts w:cs="Times New Roman"/>
        </w:rPr>
        <w:t xml:space="preserve"> </w:t>
      </w:r>
      <w:r w:rsidRPr="00F44415">
        <w:rPr>
          <w:rFonts w:cs="Times New Roman"/>
        </w:rPr>
        <w:t>75-86</w:t>
      </w:r>
      <w:r w:rsidR="00E6383C">
        <w:rPr>
          <w:rFonts w:cs="Times New Roman"/>
        </w:rPr>
        <w:t>.</w:t>
      </w:r>
      <w:r w:rsidRPr="00F44415">
        <w:rPr>
          <w:rFonts w:cs="Times New Roman"/>
        </w:rPr>
        <w:t xml:space="preserve"> </w:t>
      </w:r>
    </w:p>
    <w:p w14:paraId="1C1BA058" w14:textId="77777777" w:rsidR="00875EC3" w:rsidRPr="00F44415" w:rsidRDefault="00875EC3" w:rsidP="00875EC3">
      <w:pPr>
        <w:pStyle w:val="EndnoteText"/>
        <w:jc w:val="both"/>
        <w:rPr>
          <w:rFonts w:asciiTheme="minorHAnsi" w:hAnsiTheme="minorHAnsi" w:cs="Times New Roman"/>
          <w:sz w:val="22"/>
          <w:szCs w:val="22"/>
        </w:rPr>
      </w:pPr>
    </w:p>
    <w:p w14:paraId="6AE30FCE" w14:textId="60454E36"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Frantz, JM &amp; Smith, MR. 2013. Exploring the subjective experience of allied health professionals in their transition from clinical educators to academia: barriers and facilitators to successful transition. </w:t>
      </w:r>
      <w:r w:rsidRPr="00F44415">
        <w:rPr>
          <w:rFonts w:asciiTheme="minorHAnsi" w:hAnsiTheme="minorHAnsi" w:cs="Times New Roman"/>
          <w:i/>
          <w:sz w:val="22"/>
          <w:szCs w:val="22"/>
        </w:rPr>
        <w:t>AJHPE</w:t>
      </w:r>
      <w:r w:rsidR="00C81959">
        <w:rPr>
          <w:rFonts w:asciiTheme="minorHAnsi" w:hAnsiTheme="minorHAnsi" w:cs="Times New Roman"/>
          <w:sz w:val="22"/>
          <w:szCs w:val="22"/>
        </w:rPr>
        <w:t xml:space="preserve"> </w:t>
      </w:r>
      <w:r w:rsidRPr="00F44415">
        <w:rPr>
          <w:rFonts w:asciiTheme="minorHAnsi" w:hAnsiTheme="minorHAnsi" w:cs="Times New Roman"/>
          <w:sz w:val="22"/>
          <w:szCs w:val="22"/>
        </w:rPr>
        <w:t>5(1): 37-41</w:t>
      </w:r>
      <w:r w:rsidR="00C81959">
        <w:rPr>
          <w:rFonts w:asciiTheme="minorHAnsi" w:hAnsiTheme="minorHAnsi" w:cs="Times New Roman"/>
          <w:sz w:val="22"/>
          <w:szCs w:val="22"/>
        </w:rPr>
        <w:t>.</w:t>
      </w:r>
      <w:r w:rsidRPr="00F44415">
        <w:rPr>
          <w:rFonts w:asciiTheme="minorHAnsi" w:hAnsiTheme="minorHAnsi" w:cs="Times New Roman"/>
          <w:sz w:val="22"/>
          <w:szCs w:val="22"/>
        </w:rPr>
        <w:t xml:space="preserve"> </w:t>
      </w:r>
    </w:p>
    <w:p w14:paraId="23E248C0" w14:textId="77777777" w:rsidR="00875EC3" w:rsidRPr="00F44415" w:rsidRDefault="00875EC3" w:rsidP="00875EC3">
      <w:pPr>
        <w:pStyle w:val="Heading1"/>
        <w:spacing w:before="0" w:beforeAutospacing="0" w:after="0" w:afterAutospacing="0"/>
        <w:jc w:val="both"/>
        <w:rPr>
          <w:rFonts w:asciiTheme="minorHAnsi" w:hAnsiTheme="minorHAnsi" w:cs="Times New Roman"/>
          <w:b w:val="0"/>
          <w:sz w:val="22"/>
          <w:szCs w:val="22"/>
        </w:rPr>
      </w:pPr>
    </w:p>
    <w:p w14:paraId="3B0DAB6B" w14:textId="5DD646A1" w:rsidR="00A42354" w:rsidRPr="00F44415" w:rsidRDefault="00A42354" w:rsidP="00875EC3">
      <w:pPr>
        <w:pStyle w:val="Heading1"/>
        <w:spacing w:before="0" w:beforeAutospacing="0" w:after="0" w:afterAutospacing="0"/>
        <w:jc w:val="both"/>
        <w:rPr>
          <w:rFonts w:asciiTheme="minorHAnsi" w:hAnsiTheme="minorHAnsi" w:cs="Times New Roman"/>
          <w:b w:val="0"/>
          <w:sz w:val="22"/>
          <w:szCs w:val="22"/>
        </w:rPr>
      </w:pPr>
      <w:r w:rsidRPr="00F44415">
        <w:rPr>
          <w:rFonts w:asciiTheme="minorHAnsi" w:hAnsiTheme="minorHAnsi" w:cs="Times New Roman"/>
          <w:b w:val="0"/>
          <w:sz w:val="22"/>
          <w:szCs w:val="22"/>
        </w:rPr>
        <w:t xml:space="preserve">Frantz, JM, </w:t>
      </w:r>
      <w:proofErr w:type="spellStart"/>
      <w:r w:rsidRPr="00F44415">
        <w:rPr>
          <w:rFonts w:asciiTheme="minorHAnsi" w:hAnsiTheme="minorHAnsi" w:cs="Times New Roman"/>
          <w:b w:val="0"/>
          <w:sz w:val="22"/>
          <w:szCs w:val="22"/>
        </w:rPr>
        <w:t>Bezuidenhout</w:t>
      </w:r>
      <w:proofErr w:type="spellEnd"/>
      <w:r w:rsidRPr="00F44415">
        <w:rPr>
          <w:rFonts w:asciiTheme="minorHAnsi" w:hAnsiTheme="minorHAnsi" w:cs="Times New Roman"/>
          <w:b w:val="0"/>
          <w:sz w:val="22"/>
          <w:szCs w:val="22"/>
        </w:rPr>
        <w:t xml:space="preserve">, J, Burch, VC, </w:t>
      </w:r>
      <w:proofErr w:type="spellStart"/>
      <w:r w:rsidRPr="00F44415">
        <w:rPr>
          <w:rFonts w:asciiTheme="minorHAnsi" w:hAnsiTheme="minorHAnsi" w:cs="Times New Roman"/>
          <w:b w:val="0"/>
          <w:sz w:val="22"/>
          <w:szCs w:val="22"/>
        </w:rPr>
        <w:t>Mthembu</w:t>
      </w:r>
      <w:proofErr w:type="spellEnd"/>
      <w:r w:rsidRPr="00F44415">
        <w:rPr>
          <w:rFonts w:asciiTheme="minorHAnsi" w:hAnsiTheme="minorHAnsi" w:cs="Times New Roman"/>
          <w:b w:val="0"/>
          <w:sz w:val="22"/>
          <w:szCs w:val="22"/>
        </w:rPr>
        <w:t xml:space="preserve">, S, Rowe, M, Tan, C, van </w:t>
      </w:r>
      <w:proofErr w:type="spellStart"/>
      <w:r w:rsidRPr="00F44415">
        <w:rPr>
          <w:rFonts w:asciiTheme="minorHAnsi" w:hAnsiTheme="minorHAnsi" w:cs="Times New Roman"/>
          <w:b w:val="0"/>
          <w:sz w:val="22"/>
          <w:szCs w:val="22"/>
        </w:rPr>
        <w:t>Wyk</w:t>
      </w:r>
      <w:proofErr w:type="spellEnd"/>
      <w:r w:rsidRPr="00F44415">
        <w:rPr>
          <w:rFonts w:asciiTheme="minorHAnsi" w:hAnsiTheme="minorHAnsi" w:cs="Times New Roman"/>
          <w:b w:val="0"/>
          <w:sz w:val="22"/>
          <w:szCs w:val="22"/>
        </w:rPr>
        <w:t xml:space="preserve">, J </w:t>
      </w:r>
      <w:r w:rsidR="00C81959">
        <w:rPr>
          <w:rFonts w:asciiTheme="minorHAnsi" w:hAnsiTheme="minorHAnsi" w:cs="Times New Roman"/>
          <w:b w:val="0"/>
          <w:sz w:val="22"/>
          <w:szCs w:val="22"/>
        </w:rPr>
        <w:t>&amp;</w:t>
      </w:r>
      <w:r w:rsidR="00C81959" w:rsidRPr="00F44415">
        <w:rPr>
          <w:rFonts w:asciiTheme="minorHAnsi" w:hAnsiTheme="minorHAnsi" w:cs="Times New Roman"/>
          <w:b w:val="0"/>
          <w:sz w:val="22"/>
          <w:szCs w:val="22"/>
        </w:rPr>
        <w:t xml:space="preserve"> </w:t>
      </w:r>
      <w:r w:rsidRPr="00F44415">
        <w:rPr>
          <w:rFonts w:asciiTheme="minorHAnsi" w:hAnsiTheme="minorHAnsi" w:cs="Times New Roman"/>
          <w:b w:val="0"/>
          <w:sz w:val="22"/>
          <w:szCs w:val="22"/>
        </w:rPr>
        <w:t xml:space="preserve">van </w:t>
      </w:r>
      <w:proofErr w:type="spellStart"/>
      <w:r w:rsidRPr="00F44415">
        <w:rPr>
          <w:rFonts w:asciiTheme="minorHAnsi" w:hAnsiTheme="minorHAnsi" w:cs="Times New Roman"/>
          <w:b w:val="0"/>
          <w:sz w:val="22"/>
          <w:szCs w:val="22"/>
        </w:rPr>
        <w:t>Heerden</w:t>
      </w:r>
      <w:proofErr w:type="spellEnd"/>
      <w:r w:rsidRPr="00F44415">
        <w:rPr>
          <w:rFonts w:asciiTheme="minorHAnsi" w:hAnsiTheme="minorHAnsi" w:cs="Times New Roman"/>
          <w:b w:val="0"/>
          <w:sz w:val="22"/>
          <w:szCs w:val="22"/>
        </w:rPr>
        <w:t xml:space="preserve">, B. 2015. The impact of a faculty development programme for health professions educators in sub-Saharan Africa: an archival study. </w:t>
      </w:r>
      <w:r w:rsidRPr="00F44415">
        <w:rPr>
          <w:rFonts w:asciiTheme="minorHAnsi" w:hAnsiTheme="minorHAnsi" w:cs="Times New Roman"/>
          <w:b w:val="0"/>
          <w:i/>
          <w:sz w:val="22"/>
          <w:szCs w:val="22"/>
        </w:rPr>
        <w:t>BMC Medical Education</w:t>
      </w:r>
      <w:r w:rsidRPr="00F44415">
        <w:rPr>
          <w:rFonts w:asciiTheme="minorHAnsi" w:hAnsiTheme="minorHAnsi" w:cs="Times New Roman"/>
          <w:b w:val="0"/>
          <w:sz w:val="22"/>
          <w:szCs w:val="22"/>
        </w:rPr>
        <w:t xml:space="preserve"> 15:</w:t>
      </w:r>
      <w:r w:rsidR="00C81959">
        <w:rPr>
          <w:rFonts w:asciiTheme="minorHAnsi" w:hAnsiTheme="minorHAnsi" w:cs="Times New Roman"/>
          <w:b w:val="0"/>
          <w:sz w:val="22"/>
          <w:szCs w:val="22"/>
        </w:rPr>
        <w:t xml:space="preserve"> </w:t>
      </w:r>
      <w:r w:rsidRPr="00F44415">
        <w:rPr>
          <w:rFonts w:asciiTheme="minorHAnsi" w:hAnsiTheme="minorHAnsi" w:cs="Times New Roman"/>
          <w:b w:val="0"/>
          <w:sz w:val="22"/>
          <w:szCs w:val="22"/>
        </w:rPr>
        <w:t xml:space="preserve">28. </w:t>
      </w:r>
    </w:p>
    <w:p w14:paraId="1675EE28" w14:textId="77777777" w:rsidR="00875EC3" w:rsidRPr="00F44415" w:rsidRDefault="00875EC3" w:rsidP="00875EC3">
      <w:pPr>
        <w:pStyle w:val="EndnoteText"/>
        <w:jc w:val="both"/>
        <w:rPr>
          <w:rFonts w:asciiTheme="minorHAnsi" w:eastAsia="Times New Roman" w:hAnsiTheme="minorHAnsi" w:cs="Times New Roman"/>
          <w:iCs/>
          <w:sz w:val="22"/>
          <w:szCs w:val="22"/>
        </w:rPr>
      </w:pPr>
    </w:p>
    <w:p w14:paraId="453E368B" w14:textId="6C4EC5F9" w:rsidR="00A42354" w:rsidRPr="00F44415" w:rsidRDefault="00A42354" w:rsidP="00875EC3">
      <w:pPr>
        <w:pStyle w:val="EndnoteText"/>
        <w:jc w:val="both"/>
        <w:rPr>
          <w:rFonts w:asciiTheme="minorHAnsi" w:hAnsiTheme="minorHAnsi" w:cs="Times New Roman"/>
          <w:sz w:val="22"/>
          <w:szCs w:val="22"/>
        </w:rPr>
      </w:pPr>
      <w:proofErr w:type="spellStart"/>
      <w:r w:rsidRPr="00F44415">
        <w:rPr>
          <w:rFonts w:asciiTheme="minorHAnsi" w:eastAsia="Times New Roman" w:hAnsiTheme="minorHAnsi" w:cs="Times New Roman"/>
          <w:iCs/>
          <w:sz w:val="22"/>
          <w:szCs w:val="22"/>
        </w:rPr>
        <w:t>Frenk</w:t>
      </w:r>
      <w:proofErr w:type="spellEnd"/>
      <w:r w:rsidRPr="00F44415">
        <w:rPr>
          <w:rFonts w:asciiTheme="minorHAnsi" w:eastAsia="Times New Roman" w:hAnsiTheme="minorHAnsi" w:cs="Times New Roman"/>
          <w:iCs/>
          <w:sz w:val="22"/>
          <w:szCs w:val="22"/>
        </w:rPr>
        <w:t xml:space="preserve">, J, Chen, L, </w:t>
      </w:r>
      <w:proofErr w:type="spellStart"/>
      <w:r w:rsidRPr="00F44415">
        <w:rPr>
          <w:rFonts w:asciiTheme="minorHAnsi" w:eastAsia="Times New Roman" w:hAnsiTheme="minorHAnsi" w:cs="Times New Roman"/>
          <w:iCs/>
          <w:sz w:val="22"/>
          <w:szCs w:val="22"/>
        </w:rPr>
        <w:t>Bhutta</w:t>
      </w:r>
      <w:proofErr w:type="spellEnd"/>
      <w:r w:rsidRPr="00F44415">
        <w:rPr>
          <w:rFonts w:asciiTheme="minorHAnsi" w:eastAsia="Times New Roman" w:hAnsiTheme="minorHAnsi" w:cs="Times New Roman"/>
          <w:iCs/>
          <w:sz w:val="22"/>
          <w:szCs w:val="22"/>
        </w:rPr>
        <w:t xml:space="preserve">, ZA, Cohen, J, Crisp, N </w:t>
      </w:r>
      <w:r w:rsidR="00F56697">
        <w:rPr>
          <w:rFonts w:asciiTheme="minorHAnsi" w:eastAsia="Times New Roman" w:hAnsiTheme="minorHAnsi" w:cs="Times New Roman"/>
          <w:iCs/>
          <w:sz w:val="22"/>
          <w:szCs w:val="22"/>
        </w:rPr>
        <w:t>&amp;</w:t>
      </w:r>
      <w:r w:rsidR="00F56697" w:rsidRPr="00F44415">
        <w:rPr>
          <w:rFonts w:asciiTheme="minorHAnsi" w:eastAsia="Times New Roman" w:hAnsiTheme="minorHAnsi" w:cs="Times New Roman"/>
          <w:iCs/>
          <w:sz w:val="22"/>
          <w:szCs w:val="22"/>
        </w:rPr>
        <w:t xml:space="preserve"> </w:t>
      </w:r>
      <w:r w:rsidRPr="00F44415">
        <w:rPr>
          <w:rFonts w:asciiTheme="minorHAnsi" w:eastAsia="Times New Roman" w:hAnsiTheme="minorHAnsi" w:cs="Times New Roman"/>
          <w:iCs/>
          <w:sz w:val="22"/>
          <w:szCs w:val="22"/>
        </w:rPr>
        <w:t xml:space="preserve">Evans, T. 2010. Health professionals for a new century: transforming education to strengthen health systems in an interdependent world. </w:t>
      </w:r>
      <w:r w:rsidRPr="00F44415">
        <w:rPr>
          <w:rFonts w:asciiTheme="minorHAnsi" w:eastAsia="Times New Roman" w:hAnsiTheme="minorHAnsi" w:cs="Times New Roman"/>
          <w:i/>
          <w:iCs/>
          <w:sz w:val="22"/>
          <w:szCs w:val="22"/>
        </w:rPr>
        <w:t>Lancet</w:t>
      </w:r>
      <w:r w:rsidR="00383A56">
        <w:rPr>
          <w:rFonts w:asciiTheme="minorHAnsi" w:eastAsia="Times New Roman" w:hAnsiTheme="minorHAnsi" w:cs="Times New Roman"/>
          <w:iCs/>
          <w:sz w:val="22"/>
          <w:szCs w:val="22"/>
        </w:rPr>
        <w:t xml:space="preserve"> </w:t>
      </w:r>
      <w:r w:rsidRPr="00F44415">
        <w:rPr>
          <w:rFonts w:asciiTheme="minorHAnsi" w:eastAsia="Times New Roman" w:hAnsiTheme="minorHAnsi" w:cs="Times New Roman"/>
          <w:iCs/>
          <w:sz w:val="22"/>
          <w:szCs w:val="22"/>
        </w:rPr>
        <w:t>376(9756): 1923–58.</w:t>
      </w:r>
    </w:p>
    <w:p w14:paraId="7EBF4D4E" w14:textId="77777777" w:rsidR="00875EC3" w:rsidRPr="00F44415" w:rsidRDefault="00875EC3" w:rsidP="00875EC3">
      <w:pPr>
        <w:pStyle w:val="EndnoteText"/>
        <w:jc w:val="both"/>
        <w:rPr>
          <w:rFonts w:asciiTheme="minorHAnsi" w:hAnsiTheme="minorHAnsi" w:cs="Times New Roman"/>
          <w:sz w:val="22"/>
          <w:szCs w:val="22"/>
        </w:rPr>
      </w:pPr>
    </w:p>
    <w:p w14:paraId="0C05AF3C" w14:textId="0060869A" w:rsidR="00A42354" w:rsidRPr="00F44415" w:rsidRDefault="00A42354" w:rsidP="00875EC3">
      <w:pPr>
        <w:pStyle w:val="EndnoteText"/>
        <w:jc w:val="both"/>
        <w:rPr>
          <w:rFonts w:asciiTheme="minorHAnsi" w:hAnsiTheme="minorHAnsi" w:cs="Times New Roman"/>
          <w:sz w:val="22"/>
          <w:szCs w:val="22"/>
        </w:rPr>
      </w:pPr>
      <w:proofErr w:type="spellStart"/>
      <w:r w:rsidRPr="00F44415">
        <w:rPr>
          <w:rFonts w:asciiTheme="minorHAnsi" w:hAnsiTheme="minorHAnsi" w:cs="Times New Roman"/>
          <w:sz w:val="22"/>
          <w:szCs w:val="22"/>
        </w:rPr>
        <w:t>Goldszmidt</w:t>
      </w:r>
      <w:proofErr w:type="spellEnd"/>
      <w:r w:rsidRPr="00F44415">
        <w:rPr>
          <w:rFonts w:asciiTheme="minorHAnsi" w:hAnsiTheme="minorHAnsi" w:cs="Times New Roman"/>
          <w:sz w:val="22"/>
          <w:szCs w:val="22"/>
        </w:rPr>
        <w:t xml:space="preserve">, MA, </w:t>
      </w:r>
      <w:proofErr w:type="spellStart"/>
      <w:r w:rsidRPr="00F44415">
        <w:rPr>
          <w:rFonts w:asciiTheme="minorHAnsi" w:hAnsiTheme="minorHAnsi" w:cs="Times New Roman"/>
          <w:sz w:val="22"/>
          <w:szCs w:val="22"/>
        </w:rPr>
        <w:t>Zibrowski</w:t>
      </w:r>
      <w:proofErr w:type="spellEnd"/>
      <w:r w:rsidRPr="00F44415">
        <w:rPr>
          <w:rFonts w:asciiTheme="minorHAnsi" w:hAnsiTheme="minorHAnsi" w:cs="Times New Roman"/>
          <w:sz w:val="22"/>
          <w:szCs w:val="22"/>
        </w:rPr>
        <w:t xml:space="preserve">, EM </w:t>
      </w:r>
      <w:r w:rsidR="00F56697">
        <w:rPr>
          <w:rFonts w:asciiTheme="minorHAnsi" w:hAnsiTheme="minorHAnsi" w:cs="Times New Roman"/>
          <w:sz w:val="22"/>
          <w:szCs w:val="22"/>
        </w:rPr>
        <w:t>&amp;</w:t>
      </w:r>
      <w:r w:rsidR="00F56697" w:rsidRPr="00F44415">
        <w:rPr>
          <w:rFonts w:asciiTheme="minorHAnsi" w:hAnsiTheme="minorHAnsi" w:cs="Times New Roman"/>
          <w:sz w:val="22"/>
          <w:szCs w:val="22"/>
        </w:rPr>
        <w:t xml:space="preserve"> </w:t>
      </w:r>
      <w:r w:rsidRPr="00F44415">
        <w:rPr>
          <w:rFonts w:asciiTheme="minorHAnsi" w:hAnsiTheme="minorHAnsi" w:cs="Times New Roman"/>
          <w:sz w:val="22"/>
          <w:szCs w:val="22"/>
        </w:rPr>
        <w:t xml:space="preserve">Weston, WW. 2008. Education scholarship: it’s not just a question of ‘degree’. </w:t>
      </w:r>
      <w:r w:rsidRPr="00F44415">
        <w:rPr>
          <w:rFonts w:asciiTheme="minorHAnsi" w:hAnsiTheme="minorHAnsi" w:cs="Times New Roman"/>
          <w:i/>
          <w:sz w:val="22"/>
          <w:szCs w:val="22"/>
        </w:rPr>
        <w:t>Medical Teacher</w:t>
      </w:r>
      <w:r w:rsidRPr="00F44415">
        <w:rPr>
          <w:rFonts w:asciiTheme="minorHAnsi" w:hAnsiTheme="minorHAnsi" w:cs="Times New Roman"/>
          <w:sz w:val="22"/>
          <w:szCs w:val="22"/>
        </w:rPr>
        <w:t xml:space="preserve"> 30:</w:t>
      </w:r>
      <w:r w:rsidR="00EF12C9">
        <w:rPr>
          <w:rFonts w:asciiTheme="minorHAnsi" w:hAnsiTheme="minorHAnsi" w:cs="Times New Roman"/>
          <w:sz w:val="22"/>
          <w:szCs w:val="22"/>
        </w:rPr>
        <w:t xml:space="preserve"> </w:t>
      </w:r>
      <w:r w:rsidRPr="00F44415">
        <w:rPr>
          <w:rFonts w:asciiTheme="minorHAnsi" w:hAnsiTheme="minorHAnsi" w:cs="Times New Roman"/>
          <w:sz w:val="22"/>
          <w:szCs w:val="22"/>
        </w:rPr>
        <w:t xml:space="preserve">34-39. </w:t>
      </w:r>
    </w:p>
    <w:p w14:paraId="51205B0D" w14:textId="77777777" w:rsidR="00875EC3" w:rsidRPr="00F44415" w:rsidRDefault="00875EC3" w:rsidP="00875EC3">
      <w:pPr>
        <w:spacing w:after="0" w:line="240" w:lineRule="auto"/>
        <w:jc w:val="both"/>
      </w:pPr>
    </w:p>
    <w:p w14:paraId="6151DBC9" w14:textId="1BE8EB6F" w:rsidR="00A42354" w:rsidRPr="00F44415" w:rsidRDefault="00A42354" w:rsidP="00875EC3">
      <w:pPr>
        <w:spacing w:after="0" w:line="240" w:lineRule="auto"/>
        <w:jc w:val="both"/>
      </w:pPr>
      <w:r w:rsidRPr="00F44415">
        <w:t xml:space="preserve">Hannon, FB. 2000. A national medical education needs assessment of interns and the development of an intern education and training programme. </w:t>
      </w:r>
      <w:r w:rsidRPr="00F44415">
        <w:rPr>
          <w:i/>
        </w:rPr>
        <w:t>Medical Education</w:t>
      </w:r>
      <w:r w:rsidRPr="00F44415">
        <w:t xml:space="preserve"> 34(4): 275-284.</w:t>
      </w:r>
    </w:p>
    <w:p w14:paraId="1C699499" w14:textId="77777777" w:rsidR="00875EC3" w:rsidRPr="00F44415" w:rsidRDefault="00875EC3" w:rsidP="00875EC3">
      <w:pPr>
        <w:spacing w:after="0" w:line="240" w:lineRule="auto"/>
        <w:jc w:val="both"/>
      </w:pPr>
    </w:p>
    <w:p w14:paraId="71E3F605" w14:textId="12187BF1" w:rsidR="00A42354" w:rsidRPr="00F44415" w:rsidRDefault="00A42354" w:rsidP="00875EC3">
      <w:pPr>
        <w:spacing w:after="0" w:line="240" w:lineRule="auto"/>
        <w:jc w:val="both"/>
      </w:pPr>
      <w:proofErr w:type="spellStart"/>
      <w:r w:rsidRPr="00F44415">
        <w:t>Kluijtmans</w:t>
      </w:r>
      <w:proofErr w:type="spellEnd"/>
      <w:r w:rsidRPr="00F44415">
        <w:t xml:space="preserve">, M, de </w:t>
      </w:r>
      <w:proofErr w:type="spellStart"/>
      <w:r w:rsidRPr="00F44415">
        <w:t>Haan</w:t>
      </w:r>
      <w:proofErr w:type="spellEnd"/>
      <w:r w:rsidRPr="00F44415">
        <w:t xml:space="preserve">, E, </w:t>
      </w:r>
      <w:proofErr w:type="spellStart"/>
      <w:r w:rsidRPr="00F44415">
        <w:t>Akkerman</w:t>
      </w:r>
      <w:proofErr w:type="spellEnd"/>
      <w:r w:rsidRPr="00F44415">
        <w:t xml:space="preserve">, S </w:t>
      </w:r>
      <w:r w:rsidR="000E795D">
        <w:t>&amp;</w:t>
      </w:r>
      <w:r w:rsidR="000E795D" w:rsidRPr="00F44415">
        <w:t xml:space="preserve"> </w:t>
      </w:r>
      <w:r w:rsidRPr="00F44415">
        <w:t xml:space="preserve">van </w:t>
      </w:r>
      <w:proofErr w:type="spellStart"/>
      <w:r w:rsidRPr="00F44415">
        <w:t>Tartwijk</w:t>
      </w:r>
      <w:proofErr w:type="spellEnd"/>
      <w:r w:rsidRPr="00F44415">
        <w:t xml:space="preserve">. 2017. Professional identity in clinician-scientists: brokers between care and science. </w:t>
      </w:r>
      <w:r w:rsidRPr="00F44415">
        <w:rPr>
          <w:i/>
        </w:rPr>
        <w:t>Medical Education</w:t>
      </w:r>
      <w:r w:rsidR="000E795D">
        <w:t xml:space="preserve">. </w:t>
      </w:r>
    </w:p>
    <w:p w14:paraId="5162055E" w14:textId="77777777" w:rsidR="00875EC3" w:rsidRPr="00F44415" w:rsidRDefault="00875EC3" w:rsidP="00875EC3">
      <w:pPr>
        <w:pStyle w:val="EndnoteText"/>
        <w:jc w:val="both"/>
        <w:rPr>
          <w:rFonts w:asciiTheme="minorHAnsi" w:hAnsiTheme="minorHAnsi" w:cs="Times New Roman"/>
          <w:sz w:val="22"/>
          <w:szCs w:val="22"/>
        </w:rPr>
      </w:pPr>
    </w:p>
    <w:p w14:paraId="724A7983" w14:textId="000C4B08"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Kumar, K, Roberts, C </w:t>
      </w:r>
      <w:r w:rsidR="0035193D">
        <w:rPr>
          <w:rFonts w:asciiTheme="minorHAnsi" w:hAnsiTheme="minorHAnsi" w:cs="Times New Roman"/>
          <w:sz w:val="22"/>
          <w:szCs w:val="22"/>
        </w:rPr>
        <w:t>&amp;</w:t>
      </w:r>
      <w:r w:rsidR="0035193D" w:rsidRPr="00F44415">
        <w:rPr>
          <w:rFonts w:asciiTheme="minorHAnsi" w:hAnsiTheme="minorHAnsi" w:cs="Times New Roman"/>
          <w:sz w:val="22"/>
          <w:szCs w:val="22"/>
        </w:rPr>
        <w:t xml:space="preserve"> </w:t>
      </w:r>
      <w:proofErr w:type="spellStart"/>
      <w:r w:rsidRPr="00F44415">
        <w:rPr>
          <w:rFonts w:asciiTheme="minorHAnsi" w:hAnsiTheme="minorHAnsi" w:cs="Times New Roman"/>
          <w:sz w:val="22"/>
          <w:szCs w:val="22"/>
        </w:rPr>
        <w:t>Thistlethwaite</w:t>
      </w:r>
      <w:proofErr w:type="spellEnd"/>
      <w:r w:rsidRPr="00F44415">
        <w:rPr>
          <w:rFonts w:asciiTheme="minorHAnsi" w:hAnsiTheme="minorHAnsi" w:cs="Times New Roman"/>
          <w:sz w:val="22"/>
          <w:szCs w:val="22"/>
        </w:rPr>
        <w:t xml:space="preserve">, J. 2011. Entering and navigating academic medicine: academic clinician-educators’ experiences. </w:t>
      </w:r>
      <w:r w:rsidRPr="00F44415">
        <w:rPr>
          <w:rFonts w:asciiTheme="minorHAnsi" w:hAnsiTheme="minorHAnsi" w:cs="Times New Roman"/>
          <w:i/>
          <w:sz w:val="22"/>
          <w:szCs w:val="22"/>
        </w:rPr>
        <w:t>Medical Education</w:t>
      </w:r>
      <w:r w:rsidR="0035193D">
        <w:rPr>
          <w:rFonts w:asciiTheme="minorHAnsi" w:hAnsiTheme="minorHAnsi" w:cs="Times New Roman"/>
          <w:sz w:val="22"/>
          <w:szCs w:val="22"/>
        </w:rPr>
        <w:t xml:space="preserve"> </w:t>
      </w:r>
      <w:r w:rsidRPr="00F44415">
        <w:rPr>
          <w:rFonts w:asciiTheme="minorHAnsi" w:hAnsiTheme="minorHAnsi" w:cs="Times New Roman"/>
          <w:sz w:val="22"/>
          <w:szCs w:val="22"/>
        </w:rPr>
        <w:t>45(5):</w:t>
      </w:r>
      <w:r w:rsidR="0035193D">
        <w:rPr>
          <w:rFonts w:asciiTheme="minorHAnsi" w:hAnsiTheme="minorHAnsi" w:cs="Times New Roman"/>
          <w:sz w:val="22"/>
          <w:szCs w:val="22"/>
        </w:rPr>
        <w:t xml:space="preserve"> </w:t>
      </w:r>
      <w:r w:rsidRPr="00F44415">
        <w:rPr>
          <w:rFonts w:asciiTheme="minorHAnsi" w:hAnsiTheme="minorHAnsi" w:cs="Times New Roman"/>
          <w:sz w:val="22"/>
          <w:szCs w:val="22"/>
        </w:rPr>
        <w:t>497-503.</w:t>
      </w:r>
    </w:p>
    <w:p w14:paraId="2E247AC5" w14:textId="77777777" w:rsidR="00875EC3" w:rsidRPr="00F44415" w:rsidRDefault="00875EC3" w:rsidP="00875EC3">
      <w:pPr>
        <w:pStyle w:val="EndnoteText"/>
        <w:jc w:val="both"/>
        <w:rPr>
          <w:rFonts w:asciiTheme="minorHAnsi" w:hAnsiTheme="minorHAnsi" w:cs="Times New Roman"/>
          <w:sz w:val="22"/>
          <w:szCs w:val="22"/>
        </w:rPr>
      </w:pPr>
    </w:p>
    <w:p w14:paraId="4886ABDC" w14:textId="72A70FCD"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Lave, J &amp; Wenger, E. 1991. </w:t>
      </w:r>
      <w:r w:rsidR="0035193D" w:rsidRPr="000B0981">
        <w:rPr>
          <w:rFonts w:asciiTheme="minorHAnsi" w:hAnsiTheme="minorHAnsi" w:cs="Times New Roman"/>
          <w:i/>
          <w:sz w:val="22"/>
          <w:szCs w:val="22"/>
        </w:rPr>
        <w:t>Situated learning: legitimate peripheral participation</w:t>
      </w:r>
      <w:r w:rsidRPr="00F44415">
        <w:rPr>
          <w:rFonts w:asciiTheme="minorHAnsi" w:hAnsiTheme="minorHAnsi" w:cs="Times New Roman"/>
          <w:sz w:val="22"/>
          <w:szCs w:val="22"/>
        </w:rPr>
        <w:t xml:space="preserve">. Cambridge: Cambridge </w:t>
      </w:r>
      <w:r w:rsidR="00655063" w:rsidRPr="00F44415">
        <w:rPr>
          <w:rFonts w:asciiTheme="minorHAnsi" w:hAnsiTheme="minorHAnsi" w:cs="Times New Roman"/>
          <w:sz w:val="22"/>
          <w:szCs w:val="22"/>
        </w:rPr>
        <w:t>University Press.</w:t>
      </w:r>
    </w:p>
    <w:p w14:paraId="717BFE05" w14:textId="77777777" w:rsidR="00875EC3" w:rsidRPr="00F44415" w:rsidRDefault="00875EC3" w:rsidP="00875EC3">
      <w:pPr>
        <w:pStyle w:val="EndnoteText"/>
        <w:jc w:val="both"/>
        <w:rPr>
          <w:rFonts w:asciiTheme="minorHAnsi" w:hAnsiTheme="minorHAnsi" w:cs="Times New Roman"/>
          <w:sz w:val="22"/>
          <w:szCs w:val="22"/>
        </w:rPr>
      </w:pPr>
    </w:p>
    <w:p w14:paraId="3CCD039F" w14:textId="00912E19"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Leibowitz, B &amp; </w:t>
      </w:r>
      <w:proofErr w:type="spellStart"/>
      <w:r w:rsidRPr="00F44415">
        <w:rPr>
          <w:rFonts w:asciiTheme="minorHAnsi" w:hAnsiTheme="minorHAnsi" w:cs="Times New Roman"/>
          <w:sz w:val="22"/>
          <w:szCs w:val="22"/>
        </w:rPr>
        <w:t>Bozalek</w:t>
      </w:r>
      <w:proofErr w:type="spellEnd"/>
      <w:r w:rsidRPr="00F44415">
        <w:rPr>
          <w:rFonts w:asciiTheme="minorHAnsi" w:hAnsiTheme="minorHAnsi" w:cs="Times New Roman"/>
          <w:sz w:val="22"/>
          <w:szCs w:val="22"/>
        </w:rPr>
        <w:t xml:space="preserve">, V. 2016. The scholarship of teaching and learning from a social justice perspective. </w:t>
      </w:r>
      <w:r w:rsidRPr="00F44415">
        <w:rPr>
          <w:rFonts w:asciiTheme="minorHAnsi" w:hAnsiTheme="minorHAnsi" w:cs="Times New Roman"/>
          <w:i/>
          <w:sz w:val="22"/>
          <w:szCs w:val="22"/>
        </w:rPr>
        <w:t>Teaching in Higher Education</w:t>
      </w:r>
      <w:r w:rsidR="00EE480B">
        <w:rPr>
          <w:rFonts w:asciiTheme="minorHAnsi" w:hAnsiTheme="minorHAnsi" w:cs="Times New Roman"/>
          <w:sz w:val="22"/>
          <w:szCs w:val="22"/>
        </w:rPr>
        <w:t xml:space="preserve"> </w:t>
      </w:r>
      <w:r w:rsidRPr="00F44415">
        <w:rPr>
          <w:rFonts w:asciiTheme="minorHAnsi" w:hAnsiTheme="minorHAnsi" w:cs="Times New Roman"/>
          <w:sz w:val="22"/>
          <w:szCs w:val="22"/>
        </w:rPr>
        <w:t>21(2):</w:t>
      </w:r>
      <w:r w:rsidR="00EE480B">
        <w:rPr>
          <w:rFonts w:asciiTheme="minorHAnsi" w:hAnsiTheme="minorHAnsi" w:cs="Times New Roman"/>
          <w:sz w:val="22"/>
          <w:szCs w:val="22"/>
        </w:rPr>
        <w:t xml:space="preserve"> </w:t>
      </w:r>
      <w:r w:rsidRPr="00F44415">
        <w:rPr>
          <w:rFonts w:asciiTheme="minorHAnsi" w:hAnsiTheme="minorHAnsi" w:cs="Times New Roman"/>
          <w:sz w:val="22"/>
          <w:szCs w:val="22"/>
        </w:rPr>
        <w:t>109-122</w:t>
      </w:r>
      <w:r w:rsidR="00EE480B">
        <w:rPr>
          <w:rFonts w:asciiTheme="minorHAnsi" w:hAnsiTheme="minorHAnsi" w:cs="Times New Roman"/>
          <w:sz w:val="22"/>
          <w:szCs w:val="22"/>
        </w:rPr>
        <w:t>.</w:t>
      </w:r>
    </w:p>
    <w:p w14:paraId="2010C3B4" w14:textId="77777777" w:rsidR="00875EC3" w:rsidRPr="00F44415" w:rsidRDefault="00875EC3" w:rsidP="00875EC3">
      <w:pPr>
        <w:spacing w:after="0" w:line="240" w:lineRule="auto"/>
        <w:jc w:val="both"/>
        <w:rPr>
          <w:rFonts w:cs="Times New Roman"/>
        </w:rPr>
      </w:pPr>
    </w:p>
    <w:p w14:paraId="3E309B2B" w14:textId="46EE8BBC" w:rsidR="00A42354" w:rsidRPr="00F44415" w:rsidRDefault="00A42354" w:rsidP="00875EC3">
      <w:pPr>
        <w:spacing w:after="0" w:line="240" w:lineRule="auto"/>
        <w:jc w:val="both"/>
        <w:rPr>
          <w:rFonts w:cs="Times New Roman"/>
        </w:rPr>
      </w:pPr>
      <w:r w:rsidRPr="00F44415">
        <w:rPr>
          <w:rFonts w:cs="Times New Roman"/>
        </w:rPr>
        <w:t xml:space="preserve">Leibowitz, B. 2012. Transition to Educational Research </w:t>
      </w:r>
      <w:r w:rsidR="00EE480B" w:rsidRPr="00F44415">
        <w:rPr>
          <w:rFonts w:cs="Times New Roman"/>
        </w:rPr>
        <w:t>among</w:t>
      </w:r>
      <w:r w:rsidRPr="00F44415">
        <w:rPr>
          <w:rFonts w:cs="Times New Roman"/>
        </w:rPr>
        <w:t>st Postgraduate Health Students</w:t>
      </w:r>
      <w:r w:rsidR="00EE480B">
        <w:rPr>
          <w:rFonts w:cs="Times New Roman"/>
        </w:rPr>
        <w:t xml:space="preserve">. </w:t>
      </w:r>
      <w:r w:rsidR="00EE480B">
        <w:t>Unpublished research protocol. Stellenbosch University.</w:t>
      </w:r>
    </w:p>
    <w:p w14:paraId="69BDA519" w14:textId="77777777" w:rsidR="00875EC3" w:rsidRPr="00F44415" w:rsidRDefault="00875EC3" w:rsidP="00875EC3">
      <w:pPr>
        <w:spacing w:after="0" w:line="240" w:lineRule="auto"/>
        <w:jc w:val="both"/>
      </w:pPr>
    </w:p>
    <w:p w14:paraId="2B73A02D" w14:textId="74CF3C8A" w:rsidR="00A42354" w:rsidRPr="00F44415" w:rsidRDefault="00A42354" w:rsidP="00875EC3">
      <w:pPr>
        <w:spacing w:after="0" w:line="240" w:lineRule="auto"/>
        <w:jc w:val="both"/>
      </w:pPr>
      <w:r w:rsidRPr="00F44415">
        <w:t xml:space="preserve">Long, JC, Cunningham, FC </w:t>
      </w:r>
      <w:r w:rsidR="00942857">
        <w:t>&amp;</w:t>
      </w:r>
      <w:r w:rsidR="00942857" w:rsidRPr="00F44415">
        <w:t xml:space="preserve"> </w:t>
      </w:r>
      <w:r w:rsidRPr="00F44415">
        <w:t xml:space="preserve">Braithwaite, J. 2013. Bridges, brokers and boundary spanners in collaborative networks: a systemic review. </w:t>
      </w:r>
      <w:r w:rsidRPr="00F44415">
        <w:rPr>
          <w:i/>
        </w:rPr>
        <w:t xml:space="preserve">BMC Health </w:t>
      </w:r>
      <w:proofErr w:type="spellStart"/>
      <w:r w:rsidRPr="00F44415">
        <w:rPr>
          <w:i/>
        </w:rPr>
        <w:t>Serv</w:t>
      </w:r>
      <w:proofErr w:type="spellEnd"/>
      <w:r w:rsidRPr="00F44415">
        <w:rPr>
          <w:i/>
        </w:rPr>
        <w:t xml:space="preserve"> Res</w:t>
      </w:r>
      <w:r w:rsidRPr="00F44415">
        <w:t xml:space="preserve"> 13(158): 1-13.</w:t>
      </w:r>
    </w:p>
    <w:p w14:paraId="0DD4AE00" w14:textId="77777777" w:rsidR="00875EC3" w:rsidRPr="00F44415" w:rsidRDefault="00875EC3" w:rsidP="00875EC3">
      <w:pPr>
        <w:spacing w:after="0" w:line="240" w:lineRule="auto"/>
        <w:jc w:val="both"/>
      </w:pPr>
    </w:p>
    <w:p w14:paraId="3323ECB3" w14:textId="1AE01C7F" w:rsidR="00A42354" w:rsidRPr="00F44415" w:rsidRDefault="00A42354" w:rsidP="00875EC3">
      <w:pPr>
        <w:spacing w:after="0" w:line="240" w:lineRule="auto"/>
        <w:jc w:val="both"/>
      </w:pPr>
      <w:proofErr w:type="spellStart"/>
      <w:r w:rsidRPr="00F44415">
        <w:t>McIlveen</w:t>
      </w:r>
      <w:proofErr w:type="spellEnd"/>
      <w:r w:rsidRPr="00F44415">
        <w:t xml:space="preserve">, P &amp; Patton, W. 2007. Dialogical self: author and narrator of career life themes. </w:t>
      </w:r>
      <w:r w:rsidRPr="00F44415">
        <w:rPr>
          <w:i/>
        </w:rPr>
        <w:t>Inter</w:t>
      </w:r>
      <w:r w:rsidR="000B0981">
        <w:rPr>
          <w:i/>
        </w:rPr>
        <w:t>national</w:t>
      </w:r>
      <w:r w:rsidRPr="00F44415">
        <w:rPr>
          <w:i/>
        </w:rPr>
        <w:t xml:space="preserve"> J</w:t>
      </w:r>
      <w:r w:rsidR="000B0981">
        <w:rPr>
          <w:i/>
        </w:rPr>
        <w:t>ournal for</w:t>
      </w:r>
      <w:r w:rsidRPr="00F44415">
        <w:rPr>
          <w:i/>
        </w:rPr>
        <w:t xml:space="preserve"> Educ</w:t>
      </w:r>
      <w:r w:rsidR="000B0981">
        <w:rPr>
          <w:i/>
        </w:rPr>
        <w:t>ation and</w:t>
      </w:r>
      <w:r w:rsidRPr="00F44415">
        <w:rPr>
          <w:i/>
        </w:rPr>
        <w:t xml:space="preserve"> Vocat</w:t>
      </w:r>
      <w:r w:rsidR="000B0981">
        <w:rPr>
          <w:i/>
        </w:rPr>
        <w:t>ional</w:t>
      </w:r>
      <w:r w:rsidRPr="00F44415">
        <w:rPr>
          <w:i/>
        </w:rPr>
        <w:t xml:space="preserve"> Guid</w:t>
      </w:r>
      <w:r w:rsidR="000B0981">
        <w:rPr>
          <w:i/>
        </w:rPr>
        <w:t>ance</w:t>
      </w:r>
      <w:r w:rsidRPr="00F44415">
        <w:t xml:space="preserve"> 7:67-80.</w:t>
      </w:r>
    </w:p>
    <w:p w14:paraId="7F6CABE2" w14:textId="77777777" w:rsidR="000B0981" w:rsidRPr="00F44415" w:rsidRDefault="000B0981" w:rsidP="00875EC3">
      <w:pPr>
        <w:spacing w:after="0" w:line="240" w:lineRule="auto"/>
        <w:jc w:val="both"/>
        <w:rPr>
          <w:rFonts w:cs="Times New Roman"/>
        </w:rPr>
      </w:pPr>
    </w:p>
    <w:p w14:paraId="1A3FB8F7" w14:textId="505796A8" w:rsidR="00A42354" w:rsidRPr="00F44415" w:rsidRDefault="00A42354" w:rsidP="00875EC3">
      <w:pPr>
        <w:spacing w:after="0" w:line="240" w:lineRule="auto"/>
        <w:jc w:val="both"/>
        <w:rPr>
          <w:rFonts w:eastAsia="Times New Roman" w:cs="Times New Roman"/>
        </w:rPr>
      </w:pPr>
      <w:proofErr w:type="spellStart"/>
      <w:r w:rsidRPr="00F44415">
        <w:rPr>
          <w:rFonts w:cs="Times New Roman"/>
        </w:rPr>
        <w:t>McGaghie</w:t>
      </w:r>
      <w:proofErr w:type="spellEnd"/>
      <w:r w:rsidRPr="00F44415">
        <w:rPr>
          <w:rFonts w:cs="Times New Roman"/>
        </w:rPr>
        <w:t xml:space="preserve">, WC &amp; Webster, A. 2009. Scholarship, publication and career advancement in health professions education: AMEE Guide No 43. </w:t>
      </w:r>
      <w:r w:rsidRPr="00F44415">
        <w:rPr>
          <w:rFonts w:cs="Times New Roman"/>
          <w:i/>
        </w:rPr>
        <w:t>Medical Teacher</w:t>
      </w:r>
      <w:r w:rsidRPr="00F44415">
        <w:rPr>
          <w:rFonts w:cs="Times New Roman"/>
        </w:rPr>
        <w:t xml:space="preserve"> 31:574-590</w:t>
      </w:r>
      <w:r w:rsidR="004610CE">
        <w:rPr>
          <w:rFonts w:cs="Times New Roman"/>
        </w:rPr>
        <w:t>.</w:t>
      </w:r>
      <w:r w:rsidRPr="00F44415">
        <w:rPr>
          <w:rFonts w:cs="Times New Roman"/>
        </w:rPr>
        <w:t xml:space="preserve"> </w:t>
      </w:r>
    </w:p>
    <w:p w14:paraId="19A793B4" w14:textId="77777777" w:rsidR="00875EC3" w:rsidRPr="00F44415" w:rsidRDefault="00875EC3" w:rsidP="00875EC3">
      <w:pPr>
        <w:pStyle w:val="EndnoteText"/>
        <w:jc w:val="both"/>
        <w:rPr>
          <w:rFonts w:asciiTheme="minorHAnsi" w:hAnsiTheme="minorHAnsi" w:cs="Times New Roman"/>
          <w:sz w:val="22"/>
          <w:szCs w:val="22"/>
        </w:rPr>
      </w:pPr>
    </w:p>
    <w:p w14:paraId="6929EFED" w14:textId="4B3B8587"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McMillan, W. 2015. Identity and attribution as lenses to understand the relationship between transition to university and initial academic performance. </w:t>
      </w:r>
      <w:r w:rsidRPr="00F44415">
        <w:rPr>
          <w:rFonts w:asciiTheme="minorHAnsi" w:hAnsiTheme="minorHAnsi" w:cs="Times New Roman"/>
          <w:i/>
          <w:sz w:val="22"/>
          <w:szCs w:val="22"/>
        </w:rPr>
        <w:t>AJHPE</w:t>
      </w:r>
      <w:r w:rsidR="004610CE">
        <w:rPr>
          <w:rFonts w:asciiTheme="minorHAnsi" w:hAnsiTheme="minorHAnsi" w:cs="Times New Roman"/>
          <w:sz w:val="22"/>
          <w:szCs w:val="22"/>
        </w:rPr>
        <w:t xml:space="preserve"> </w:t>
      </w:r>
      <w:r w:rsidRPr="00F44415">
        <w:rPr>
          <w:rFonts w:asciiTheme="minorHAnsi" w:hAnsiTheme="minorHAnsi" w:cs="Times New Roman"/>
          <w:sz w:val="22"/>
          <w:szCs w:val="22"/>
        </w:rPr>
        <w:t xml:space="preserve">7(1): 32-38. </w:t>
      </w:r>
    </w:p>
    <w:p w14:paraId="08E63BCE" w14:textId="77777777" w:rsidR="00875EC3" w:rsidRPr="00F44415" w:rsidRDefault="00875EC3" w:rsidP="00875EC3">
      <w:pPr>
        <w:pStyle w:val="NormalWeb"/>
        <w:spacing w:before="0" w:beforeAutospacing="0" w:after="0" w:afterAutospacing="0"/>
        <w:jc w:val="both"/>
        <w:rPr>
          <w:rFonts w:asciiTheme="minorHAnsi" w:hAnsiTheme="minorHAnsi"/>
          <w:sz w:val="22"/>
          <w:szCs w:val="22"/>
        </w:rPr>
      </w:pPr>
    </w:p>
    <w:p w14:paraId="0391061C" w14:textId="25FB636E" w:rsidR="00A42354" w:rsidRPr="00F44415" w:rsidRDefault="00A42354" w:rsidP="00875EC3">
      <w:pPr>
        <w:pStyle w:val="NormalWeb"/>
        <w:spacing w:before="0" w:beforeAutospacing="0" w:after="0" w:afterAutospacing="0"/>
        <w:jc w:val="both"/>
        <w:rPr>
          <w:rFonts w:asciiTheme="minorHAnsi" w:hAnsiTheme="minorHAnsi"/>
          <w:sz w:val="22"/>
          <w:szCs w:val="22"/>
        </w:rPr>
      </w:pPr>
      <w:proofErr w:type="spellStart"/>
      <w:r w:rsidRPr="00F44415">
        <w:rPr>
          <w:rFonts w:asciiTheme="minorHAnsi" w:hAnsiTheme="minorHAnsi"/>
          <w:sz w:val="22"/>
          <w:szCs w:val="22"/>
        </w:rPr>
        <w:t>Mezirow</w:t>
      </w:r>
      <w:proofErr w:type="spellEnd"/>
      <w:r w:rsidR="002D57C8">
        <w:rPr>
          <w:rFonts w:asciiTheme="minorHAnsi" w:hAnsiTheme="minorHAnsi"/>
          <w:sz w:val="22"/>
          <w:szCs w:val="22"/>
        </w:rPr>
        <w:t xml:space="preserve">, J </w:t>
      </w:r>
      <w:r w:rsidRPr="00F44415">
        <w:rPr>
          <w:rFonts w:asciiTheme="minorHAnsi" w:hAnsiTheme="minorHAnsi"/>
          <w:sz w:val="22"/>
          <w:szCs w:val="22"/>
        </w:rPr>
        <w:t xml:space="preserve">&amp; Associates. 2000. </w:t>
      </w:r>
      <w:r w:rsidRPr="000B0981">
        <w:rPr>
          <w:rFonts w:asciiTheme="minorHAnsi" w:hAnsiTheme="minorHAnsi"/>
          <w:i/>
          <w:sz w:val="22"/>
          <w:szCs w:val="22"/>
        </w:rPr>
        <w:t>Learning as Transformation.</w:t>
      </w:r>
      <w:r w:rsidRPr="00F44415">
        <w:rPr>
          <w:rFonts w:asciiTheme="minorHAnsi" w:hAnsiTheme="minorHAnsi"/>
          <w:sz w:val="22"/>
          <w:szCs w:val="22"/>
        </w:rPr>
        <w:t xml:space="preserve"> </w:t>
      </w:r>
      <w:r w:rsidR="002D57C8">
        <w:rPr>
          <w:rFonts w:asciiTheme="minorHAnsi" w:hAnsiTheme="minorHAnsi"/>
          <w:sz w:val="22"/>
          <w:szCs w:val="22"/>
        </w:rPr>
        <w:t>San Francisco:</w:t>
      </w:r>
      <w:r w:rsidR="002D57C8" w:rsidRPr="00F44415">
        <w:rPr>
          <w:rFonts w:asciiTheme="minorHAnsi" w:hAnsiTheme="minorHAnsi"/>
          <w:sz w:val="22"/>
          <w:szCs w:val="22"/>
        </w:rPr>
        <w:t xml:space="preserve"> </w:t>
      </w:r>
      <w:proofErr w:type="spellStart"/>
      <w:r w:rsidRPr="00F44415">
        <w:rPr>
          <w:rFonts w:asciiTheme="minorHAnsi" w:hAnsiTheme="minorHAnsi"/>
          <w:sz w:val="22"/>
          <w:szCs w:val="22"/>
        </w:rPr>
        <w:t>Jossey</w:t>
      </w:r>
      <w:proofErr w:type="spellEnd"/>
      <w:r w:rsidRPr="00F44415">
        <w:rPr>
          <w:rFonts w:asciiTheme="minorHAnsi" w:hAnsiTheme="minorHAnsi"/>
          <w:sz w:val="22"/>
          <w:szCs w:val="22"/>
        </w:rPr>
        <w:t xml:space="preserve"> Bass</w:t>
      </w:r>
      <w:r w:rsidR="002D57C8">
        <w:rPr>
          <w:rFonts w:asciiTheme="minorHAnsi" w:hAnsiTheme="minorHAnsi"/>
          <w:sz w:val="22"/>
          <w:szCs w:val="22"/>
        </w:rPr>
        <w:t>.</w:t>
      </w:r>
      <w:r w:rsidRPr="00F44415">
        <w:rPr>
          <w:rFonts w:asciiTheme="minorHAnsi" w:hAnsiTheme="minorHAnsi"/>
          <w:sz w:val="22"/>
          <w:szCs w:val="22"/>
        </w:rPr>
        <w:t xml:space="preserve"> </w:t>
      </w:r>
    </w:p>
    <w:p w14:paraId="6DA42374" w14:textId="77777777" w:rsidR="00875EC3" w:rsidRPr="00F44415" w:rsidRDefault="00875EC3" w:rsidP="00875EC3">
      <w:pPr>
        <w:spacing w:after="0" w:line="240" w:lineRule="auto"/>
        <w:jc w:val="both"/>
      </w:pPr>
    </w:p>
    <w:p w14:paraId="4CF11DB0" w14:textId="14094741" w:rsidR="00A42354" w:rsidRPr="00F44415" w:rsidRDefault="00A42354" w:rsidP="00875EC3">
      <w:pPr>
        <w:spacing w:after="0" w:line="240" w:lineRule="auto"/>
        <w:jc w:val="both"/>
      </w:pPr>
      <w:proofErr w:type="spellStart"/>
      <w:r w:rsidRPr="00F44415">
        <w:t>Monrouxe</w:t>
      </w:r>
      <w:proofErr w:type="spellEnd"/>
      <w:r w:rsidRPr="00F44415">
        <w:t xml:space="preserve">, LV. 2010. Identity, Identification and medical education: Why should we care? </w:t>
      </w:r>
      <w:r w:rsidRPr="00F44415">
        <w:rPr>
          <w:i/>
        </w:rPr>
        <w:t>Medical Education</w:t>
      </w:r>
      <w:r w:rsidRPr="00F44415">
        <w:t xml:space="preserve"> 44:</w:t>
      </w:r>
      <w:r w:rsidR="002D57C8">
        <w:t xml:space="preserve"> </w:t>
      </w:r>
      <w:r w:rsidRPr="00F44415">
        <w:t>40-49.</w:t>
      </w:r>
    </w:p>
    <w:p w14:paraId="590CCF37" w14:textId="77777777" w:rsidR="00875EC3" w:rsidRPr="00F44415" w:rsidRDefault="00875EC3" w:rsidP="00875EC3">
      <w:pPr>
        <w:spacing w:after="0" w:line="240" w:lineRule="auto"/>
        <w:jc w:val="both"/>
      </w:pPr>
    </w:p>
    <w:p w14:paraId="5B76487F" w14:textId="5FA71B82" w:rsidR="00A42354" w:rsidRPr="00F44415" w:rsidRDefault="00A42354" w:rsidP="00875EC3">
      <w:pPr>
        <w:spacing w:after="0" w:line="240" w:lineRule="auto"/>
        <w:jc w:val="both"/>
      </w:pPr>
      <w:r w:rsidRPr="00F44415">
        <w:lastRenderedPageBreak/>
        <w:t xml:space="preserve">Morel, PA &amp; Ross, G. 2014. The physician-scientist: balancing clinical and research duties. </w:t>
      </w:r>
      <w:r w:rsidRPr="00F44415">
        <w:rPr>
          <w:i/>
        </w:rPr>
        <w:t>Nat</w:t>
      </w:r>
      <w:r w:rsidR="00374F0E">
        <w:rPr>
          <w:i/>
        </w:rPr>
        <w:t>ure</w:t>
      </w:r>
      <w:r w:rsidRPr="00F44415">
        <w:rPr>
          <w:i/>
        </w:rPr>
        <w:t xml:space="preserve"> </w:t>
      </w:r>
      <w:r w:rsidRPr="00374F0E">
        <w:rPr>
          <w:i/>
        </w:rPr>
        <w:t>Immuno</w:t>
      </w:r>
      <w:r w:rsidR="00374F0E" w:rsidRPr="00374F0E">
        <w:rPr>
          <w:i/>
        </w:rPr>
        <w:t>logy</w:t>
      </w:r>
      <w:r w:rsidR="00285CD8">
        <w:rPr>
          <w:i/>
        </w:rPr>
        <w:t xml:space="preserve"> </w:t>
      </w:r>
      <w:r w:rsidRPr="00374F0E">
        <w:rPr>
          <w:i/>
        </w:rPr>
        <w:t>15</w:t>
      </w:r>
      <w:r w:rsidRPr="00F44415">
        <w:t>(12): 1092-4.</w:t>
      </w:r>
    </w:p>
    <w:p w14:paraId="63C80FF8" w14:textId="77777777" w:rsidR="00875EC3" w:rsidRPr="00F44415" w:rsidRDefault="00875EC3" w:rsidP="00875EC3">
      <w:pPr>
        <w:spacing w:after="0" w:line="240" w:lineRule="auto"/>
        <w:jc w:val="both"/>
        <w:rPr>
          <w:rFonts w:cs="Times New Roman"/>
        </w:rPr>
      </w:pPr>
    </w:p>
    <w:p w14:paraId="0D198326" w14:textId="457E5792" w:rsidR="00A42354" w:rsidRPr="00F44415" w:rsidRDefault="00A42354" w:rsidP="00875EC3">
      <w:pPr>
        <w:spacing w:after="0" w:line="240" w:lineRule="auto"/>
        <w:jc w:val="both"/>
        <w:rPr>
          <w:rFonts w:eastAsia="Times New Roman" w:cs="Times New Roman"/>
        </w:rPr>
      </w:pPr>
      <w:r w:rsidRPr="00F44415">
        <w:rPr>
          <w:rFonts w:cs="Times New Roman"/>
        </w:rPr>
        <w:t xml:space="preserve">Murphy, S. 2014. Remember how it feels to be a student? </w:t>
      </w:r>
      <w:r w:rsidRPr="00F44415">
        <w:rPr>
          <w:rFonts w:cs="Times New Roman"/>
          <w:i/>
        </w:rPr>
        <w:t>The Clinical Teacher</w:t>
      </w:r>
      <w:r w:rsidRPr="00F44415">
        <w:rPr>
          <w:rFonts w:cs="Times New Roman"/>
        </w:rPr>
        <w:t xml:space="preserve"> 11:</w:t>
      </w:r>
      <w:r w:rsidR="005C6F03">
        <w:rPr>
          <w:rFonts w:cs="Times New Roman"/>
        </w:rPr>
        <w:t xml:space="preserve"> </w:t>
      </w:r>
      <w:r w:rsidRPr="00F44415">
        <w:rPr>
          <w:rFonts w:cs="Times New Roman"/>
        </w:rPr>
        <w:t>336-339</w:t>
      </w:r>
      <w:r w:rsidR="005C6F03">
        <w:rPr>
          <w:rFonts w:cs="Times New Roman"/>
        </w:rPr>
        <w:t>.</w:t>
      </w:r>
      <w:r w:rsidRPr="00F44415">
        <w:rPr>
          <w:rFonts w:cs="Times New Roman"/>
        </w:rPr>
        <w:t xml:space="preserve"> </w:t>
      </w:r>
    </w:p>
    <w:p w14:paraId="26C90B6B" w14:textId="77777777" w:rsidR="00875EC3" w:rsidRPr="00F44415" w:rsidRDefault="00875EC3" w:rsidP="00875EC3">
      <w:pPr>
        <w:spacing w:after="0" w:line="240" w:lineRule="auto"/>
        <w:jc w:val="both"/>
        <w:rPr>
          <w:rFonts w:eastAsia="Times New Roman" w:cs="Times New Roman"/>
        </w:rPr>
      </w:pPr>
    </w:p>
    <w:p w14:paraId="1FE964B6" w14:textId="406AAA82" w:rsidR="00374F0E" w:rsidRPr="00F44415" w:rsidRDefault="00A42354" w:rsidP="00875EC3">
      <w:pPr>
        <w:spacing w:after="0" w:line="240" w:lineRule="auto"/>
        <w:jc w:val="both"/>
        <w:rPr>
          <w:rFonts w:eastAsia="Times New Roman" w:cs="Times New Roman"/>
        </w:rPr>
      </w:pPr>
      <w:r w:rsidRPr="00F44415">
        <w:rPr>
          <w:rFonts w:eastAsia="Times New Roman" w:cs="Times New Roman"/>
        </w:rPr>
        <w:t xml:space="preserve">Nicholson, N. 1984. A theory of work role transitions. </w:t>
      </w:r>
      <w:r w:rsidRPr="00F44415">
        <w:rPr>
          <w:rFonts w:eastAsia="Times New Roman" w:cs="Times New Roman"/>
          <w:i/>
        </w:rPr>
        <w:t>Adm</w:t>
      </w:r>
      <w:r w:rsidR="00374F0E">
        <w:rPr>
          <w:rFonts w:eastAsia="Times New Roman" w:cs="Times New Roman"/>
          <w:i/>
        </w:rPr>
        <w:t>inistrative</w:t>
      </w:r>
      <w:r w:rsidRPr="00F44415">
        <w:rPr>
          <w:rFonts w:eastAsia="Times New Roman" w:cs="Times New Roman"/>
          <w:i/>
        </w:rPr>
        <w:t xml:space="preserve"> Sci</w:t>
      </w:r>
      <w:r w:rsidR="00374F0E">
        <w:rPr>
          <w:rFonts w:eastAsia="Times New Roman" w:cs="Times New Roman"/>
          <w:i/>
        </w:rPr>
        <w:t>ence</w:t>
      </w:r>
      <w:r w:rsidRPr="00F44415">
        <w:rPr>
          <w:rFonts w:eastAsia="Times New Roman" w:cs="Times New Roman"/>
          <w:i/>
        </w:rPr>
        <w:t xml:space="preserve"> Q</w:t>
      </w:r>
      <w:r w:rsidR="00374F0E">
        <w:rPr>
          <w:rFonts w:eastAsia="Times New Roman" w:cs="Times New Roman"/>
          <w:i/>
        </w:rPr>
        <w:t>uarterly</w:t>
      </w:r>
      <w:r w:rsidR="005C6F03">
        <w:rPr>
          <w:rFonts w:eastAsia="Times New Roman" w:cs="Times New Roman"/>
        </w:rPr>
        <w:t xml:space="preserve"> </w:t>
      </w:r>
      <w:r w:rsidRPr="00F44415">
        <w:rPr>
          <w:rFonts w:eastAsia="Times New Roman" w:cs="Times New Roman"/>
        </w:rPr>
        <w:t>29:</w:t>
      </w:r>
      <w:r w:rsidR="005C6F03">
        <w:rPr>
          <w:rFonts w:eastAsia="Times New Roman" w:cs="Times New Roman"/>
        </w:rPr>
        <w:t xml:space="preserve"> </w:t>
      </w:r>
      <w:r w:rsidRPr="00F44415">
        <w:rPr>
          <w:rFonts w:eastAsia="Times New Roman" w:cs="Times New Roman"/>
        </w:rPr>
        <w:t>172-191.</w:t>
      </w:r>
    </w:p>
    <w:p w14:paraId="512B5751" w14:textId="77777777" w:rsidR="00875EC3" w:rsidRPr="00F44415" w:rsidRDefault="00875EC3" w:rsidP="00875EC3">
      <w:pPr>
        <w:spacing w:after="0" w:line="240" w:lineRule="auto"/>
        <w:jc w:val="both"/>
      </w:pPr>
    </w:p>
    <w:p w14:paraId="06C1B1F8" w14:textId="5F0A01C6" w:rsidR="00A42354" w:rsidRPr="00F44415" w:rsidRDefault="00A42354" w:rsidP="00875EC3">
      <w:pPr>
        <w:spacing w:after="0" w:line="240" w:lineRule="auto"/>
        <w:jc w:val="both"/>
      </w:pPr>
      <w:r w:rsidRPr="00F44415">
        <w:t xml:space="preserve">Pratt, MG, </w:t>
      </w:r>
      <w:proofErr w:type="spellStart"/>
      <w:r w:rsidRPr="00F44415">
        <w:t>Rockmann</w:t>
      </w:r>
      <w:proofErr w:type="spellEnd"/>
      <w:r w:rsidRPr="00F44415">
        <w:t xml:space="preserve">, KW </w:t>
      </w:r>
      <w:r w:rsidR="008C5B60">
        <w:t>&amp;</w:t>
      </w:r>
      <w:r w:rsidR="008C5B60" w:rsidRPr="00F44415">
        <w:t xml:space="preserve"> </w:t>
      </w:r>
      <w:r w:rsidRPr="00F44415">
        <w:t xml:space="preserve">Kaufman, JB. 2006. Constructing professional identity: </w:t>
      </w:r>
      <w:r w:rsidR="008C5B60">
        <w:t>t</w:t>
      </w:r>
      <w:r w:rsidRPr="00F44415">
        <w:t xml:space="preserve">he role of work and identity learning cycles in the customization of identity among medical residents. </w:t>
      </w:r>
      <w:r w:rsidR="00374F0E" w:rsidRPr="00BA56CF">
        <w:rPr>
          <w:i/>
        </w:rPr>
        <w:t xml:space="preserve">The </w:t>
      </w:r>
      <w:r w:rsidRPr="00F44415">
        <w:rPr>
          <w:i/>
        </w:rPr>
        <w:t>Acad</w:t>
      </w:r>
      <w:r w:rsidR="00BA56CF">
        <w:rPr>
          <w:i/>
        </w:rPr>
        <w:t>e</w:t>
      </w:r>
      <w:r w:rsidR="00374F0E">
        <w:rPr>
          <w:i/>
        </w:rPr>
        <w:t>my of</w:t>
      </w:r>
      <w:r w:rsidRPr="00F44415">
        <w:rPr>
          <w:i/>
        </w:rPr>
        <w:t xml:space="preserve"> Manage</w:t>
      </w:r>
      <w:r w:rsidR="00374F0E">
        <w:rPr>
          <w:i/>
        </w:rPr>
        <w:t>ment</w:t>
      </w:r>
      <w:r w:rsidRPr="00F44415">
        <w:rPr>
          <w:i/>
        </w:rPr>
        <w:t xml:space="preserve"> J</w:t>
      </w:r>
      <w:r w:rsidR="00374F0E">
        <w:rPr>
          <w:i/>
        </w:rPr>
        <w:t>ournal</w:t>
      </w:r>
      <w:r w:rsidRPr="00F44415">
        <w:t xml:space="preserve"> 49: 235-262.</w:t>
      </w:r>
    </w:p>
    <w:p w14:paraId="4FD52E04" w14:textId="77777777" w:rsidR="00875EC3" w:rsidRPr="00F44415" w:rsidRDefault="00875EC3" w:rsidP="00875EC3">
      <w:pPr>
        <w:spacing w:after="0" w:line="240" w:lineRule="auto"/>
        <w:jc w:val="both"/>
      </w:pPr>
    </w:p>
    <w:p w14:paraId="40532EC3" w14:textId="01144BDA" w:rsidR="00A42354" w:rsidRPr="00F44415" w:rsidRDefault="00A42354" w:rsidP="00875EC3">
      <w:pPr>
        <w:spacing w:after="0" w:line="240" w:lineRule="auto"/>
        <w:jc w:val="both"/>
      </w:pPr>
      <w:r w:rsidRPr="00F44415">
        <w:t xml:space="preserve">Rosenblum, ND, </w:t>
      </w:r>
      <w:proofErr w:type="spellStart"/>
      <w:r w:rsidRPr="00F44415">
        <w:t>Kluijtmans</w:t>
      </w:r>
      <w:proofErr w:type="spellEnd"/>
      <w:r w:rsidRPr="00F44415">
        <w:t xml:space="preserve">, M </w:t>
      </w:r>
      <w:r w:rsidR="008C5B60">
        <w:t>&amp;</w:t>
      </w:r>
      <w:r w:rsidR="008C5B60" w:rsidRPr="00F44415">
        <w:t xml:space="preserve"> </w:t>
      </w:r>
      <w:r w:rsidRPr="00F44415">
        <w:t xml:space="preserve">ten Cate, O. 2016. Professional Identity Formation and the Clinician-Scientist: </w:t>
      </w:r>
      <w:r w:rsidR="008C5B60">
        <w:t>a</w:t>
      </w:r>
      <w:r w:rsidRPr="00F44415">
        <w:t xml:space="preserve"> Paradigm for a Clinical Career Combining Two Distinct Disciplines. </w:t>
      </w:r>
      <w:r w:rsidRPr="00F44415">
        <w:rPr>
          <w:i/>
        </w:rPr>
        <w:t>Academic Medicine</w:t>
      </w:r>
      <w:r w:rsidRPr="00F44415">
        <w:t xml:space="preserve"> 91: 1612-1617.</w:t>
      </w:r>
    </w:p>
    <w:p w14:paraId="5235CA7A" w14:textId="77777777" w:rsidR="00875EC3" w:rsidRPr="00F44415" w:rsidRDefault="00875EC3" w:rsidP="00875EC3">
      <w:pPr>
        <w:spacing w:after="0" w:line="240" w:lineRule="auto"/>
        <w:jc w:val="both"/>
      </w:pPr>
    </w:p>
    <w:p w14:paraId="29285AD9" w14:textId="3FD69B0F" w:rsidR="00BA56CF" w:rsidRPr="00F44415" w:rsidRDefault="00A42354" w:rsidP="00875EC3">
      <w:pPr>
        <w:spacing w:after="0" w:line="240" w:lineRule="auto"/>
        <w:jc w:val="both"/>
      </w:pPr>
      <w:proofErr w:type="spellStart"/>
      <w:r w:rsidRPr="00F44415">
        <w:t>Roccas</w:t>
      </w:r>
      <w:proofErr w:type="spellEnd"/>
      <w:r w:rsidRPr="00F44415">
        <w:t xml:space="preserve">, S. &amp; Brewer, MB. 2002. Social identity complexity. </w:t>
      </w:r>
      <w:r w:rsidRPr="000B0981">
        <w:rPr>
          <w:i/>
        </w:rPr>
        <w:t>Pers</w:t>
      </w:r>
      <w:r w:rsidR="00BA56CF">
        <w:rPr>
          <w:i/>
        </w:rPr>
        <w:t>onality and</w:t>
      </w:r>
      <w:r w:rsidRPr="000B0981">
        <w:rPr>
          <w:i/>
        </w:rPr>
        <w:t xml:space="preserve"> Soc</w:t>
      </w:r>
      <w:r w:rsidR="00BA56CF">
        <w:rPr>
          <w:i/>
        </w:rPr>
        <w:t>ial</w:t>
      </w:r>
      <w:r w:rsidRPr="000B0981">
        <w:rPr>
          <w:i/>
        </w:rPr>
        <w:t xml:space="preserve"> Psychol</w:t>
      </w:r>
      <w:r w:rsidR="00BA56CF">
        <w:rPr>
          <w:i/>
        </w:rPr>
        <w:t>ogy</w:t>
      </w:r>
      <w:r w:rsidRPr="000B0981">
        <w:rPr>
          <w:i/>
        </w:rPr>
        <w:t xml:space="preserve"> Rev</w:t>
      </w:r>
      <w:r w:rsidR="00BA56CF">
        <w:rPr>
          <w:i/>
        </w:rPr>
        <w:t>iew</w:t>
      </w:r>
      <w:r w:rsidRPr="00F44415">
        <w:t xml:space="preserve"> 6:</w:t>
      </w:r>
      <w:r w:rsidR="008C5B60">
        <w:t xml:space="preserve"> </w:t>
      </w:r>
      <w:r w:rsidRPr="00F44415">
        <w:t xml:space="preserve">88-106 </w:t>
      </w:r>
    </w:p>
    <w:p w14:paraId="0DA380DF" w14:textId="77777777" w:rsidR="00875EC3" w:rsidRPr="00F44415" w:rsidRDefault="00875EC3" w:rsidP="00875EC3">
      <w:pPr>
        <w:pStyle w:val="EndnoteText"/>
        <w:jc w:val="both"/>
        <w:rPr>
          <w:rFonts w:asciiTheme="minorHAnsi" w:hAnsiTheme="minorHAnsi" w:cs="Times New Roman"/>
          <w:sz w:val="22"/>
          <w:szCs w:val="22"/>
        </w:rPr>
      </w:pPr>
    </w:p>
    <w:p w14:paraId="54939BF0" w14:textId="7B708CAA" w:rsidR="00A42354" w:rsidRPr="00F44415" w:rsidRDefault="00A42354" w:rsidP="00875EC3">
      <w:pPr>
        <w:pStyle w:val="EndnoteText"/>
        <w:jc w:val="both"/>
        <w:rPr>
          <w:rFonts w:asciiTheme="minorHAnsi" w:hAnsiTheme="minorHAnsi" w:cs="Times New Roman"/>
          <w:sz w:val="22"/>
          <w:szCs w:val="22"/>
        </w:rPr>
      </w:pPr>
      <w:proofErr w:type="spellStart"/>
      <w:r w:rsidRPr="00F44415">
        <w:rPr>
          <w:rFonts w:asciiTheme="minorHAnsi" w:hAnsiTheme="minorHAnsi" w:cs="Times New Roman"/>
          <w:sz w:val="22"/>
          <w:szCs w:val="22"/>
        </w:rPr>
        <w:t>Sethi</w:t>
      </w:r>
      <w:proofErr w:type="spellEnd"/>
      <w:r w:rsidRPr="00F44415">
        <w:rPr>
          <w:rFonts w:asciiTheme="minorHAnsi" w:hAnsiTheme="minorHAnsi" w:cs="Times New Roman"/>
          <w:sz w:val="22"/>
          <w:szCs w:val="22"/>
        </w:rPr>
        <w:t xml:space="preserve">, A, Schofield, S, </w:t>
      </w:r>
      <w:proofErr w:type="spellStart"/>
      <w:r w:rsidRPr="00F44415">
        <w:rPr>
          <w:rFonts w:asciiTheme="minorHAnsi" w:hAnsiTheme="minorHAnsi" w:cs="Times New Roman"/>
          <w:sz w:val="22"/>
          <w:szCs w:val="22"/>
        </w:rPr>
        <w:t>Ajjawi</w:t>
      </w:r>
      <w:proofErr w:type="spellEnd"/>
      <w:r w:rsidRPr="00F44415">
        <w:rPr>
          <w:rFonts w:asciiTheme="minorHAnsi" w:hAnsiTheme="minorHAnsi" w:cs="Times New Roman"/>
          <w:sz w:val="22"/>
          <w:szCs w:val="22"/>
        </w:rPr>
        <w:t xml:space="preserve">, R </w:t>
      </w:r>
      <w:r w:rsidR="00163BA6">
        <w:rPr>
          <w:rFonts w:asciiTheme="minorHAnsi" w:hAnsiTheme="minorHAnsi" w:cs="Times New Roman"/>
          <w:sz w:val="22"/>
          <w:szCs w:val="22"/>
        </w:rPr>
        <w:t>&amp;</w:t>
      </w:r>
      <w:r w:rsidR="00163BA6" w:rsidRPr="00F44415">
        <w:rPr>
          <w:rFonts w:asciiTheme="minorHAnsi" w:hAnsiTheme="minorHAnsi" w:cs="Times New Roman"/>
          <w:sz w:val="22"/>
          <w:szCs w:val="22"/>
        </w:rPr>
        <w:t xml:space="preserve"> </w:t>
      </w:r>
      <w:proofErr w:type="spellStart"/>
      <w:r w:rsidRPr="00F44415">
        <w:rPr>
          <w:rFonts w:asciiTheme="minorHAnsi" w:hAnsiTheme="minorHAnsi" w:cs="Times New Roman"/>
          <w:sz w:val="22"/>
          <w:szCs w:val="22"/>
        </w:rPr>
        <w:t>McAleer</w:t>
      </w:r>
      <w:proofErr w:type="spellEnd"/>
      <w:r w:rsidRPr="00F44415">
        <w:rPr>
          <w:rFonts w:asciiTheme="minorHAnsi" w:hAnsiTheme="minorHAnsi" w:cs="Times New Roman"/>
          <w:sz w:val="22"/>
          <w:szCs w:val="22"/>
        </w:rPr>
        <w:t>, S. 2016. How do postgraduate qualifications in medical education impact o</w:t>
      </w:r>
      <w:r w:rsidR="00CE33B6" w:rsidRPr="00F44415">
        <w:rPr>
          <w:rFonts w:asciiTheme="minorHAnsi" w:hAnsiTheme="minorHAnsi" w:cs="Times New Roman"/>
          <w:sz w:val="22"/>
          <w:szCs w:val="22"/>
        </w:rPr>
        <w:t>n</w:t>
      </w:r>
      <w:r w:rsidRPr="00F44415">
        <w:rPr>
          <w:rFonts w:asciiTheme="minorHAnsi" w:hAnsiTheme="minorHAnsi" w:cs="Times New Roman"/>
          <w:sz w:val="22"/>
          <w:szCs w:val="22"/>
        </w:rPr>
        <w:t xml:space="preserve"> health professionals? </w:t>
      </w:r>
      <w:r w:rsidRPr="00F44415">
        <w:rPr>
          <w:rFonts w:asciiTheme="minorHAnsi" w:hAnsiTheme="minorHAnsi" w:cs="Times New Roman"/>
          <w:i/>
          <w:sz w:val="22"/>
          <w:szCs w:val="22"/>
        </w:rPr>
        <w:t>Medical Teacher</w:t>
      </w:r>
      <w:r w:rsidRPr="00F44415">
        <w:rPr>
          <w:rFonts w:asciiTheme="minorHAnsi" w:hAnsiTheme="minorHAnsi" w:cs="Times New Roman"/>
          <w:sz w:val="22"/>
          <w:szCs w:val="22"/>
        </w:rPr>
        <w:t xml:space="preserve"> 38(2):</w:t>
      </w:r>
      <w:r w:rsidR="00163BA6">
        <w:rPr>
          <w:rFonts w:asciiTheme="minorHAnsi" w:hAnsiTheme="minorHAnsi" w:cs="Times New Roman"/>
          <w:sz w:val="22"/>
          <w:szCs w:val="22"/>
        </w:rPr>
        <w:t xml:space="preserve"> </w:t>
      </w:r>
      <w:r w:rsidRPr="00F44415">
        <w:rPr>
          <w:rFonts w:asciiTheme="minorHAnsi" w:hAnsiTheme="minorHAnsi" w:cs="Times New Roman"/>
          <w:sz w:val="22"/>
          <w:szCs w:val="22"/>
        </w:rPr>
        <w:t>162-7</w:t>
      </w:r>
      <w:r w:rsidR="00163BA6">
        <w:rPr>
          <w:rFonts w:asciiTheme="minorHAnsi" w:hAnsiTheme="minorHAnsi" w:cs="Times New Roman"/>
          <w:sz w:val="22"/>
          <w:szCs w:val="22"/>
        </w:rPr>
        <w:t>.</w:t>
      </w:r>
    </w:p>
    <w:p w14:paraId="3DD2377B" w14:textId="77777777" w:rsidR="00875EC3" w:rsidRPr="00F44415" w:rsidRDefault="00875EC3" w:rsidP="00875EC3">
      <w:pPr>
        <w:pStyle w:val="EndnoteText"/>
        <w:jc w:val="both"/>
        <w:rPr>
          <w:rFonts w:asciiTheme="minorHAnsi" w:hAnsiTheme="minorHAnsi" w:cs="Times New Roman"/>
          <w:sz w:val="22"/>
          <w:szCs w:val="22"/>
        </w:rPr>
      </w:pPr>
    </w:p>
    <w:p w14:paraId="44A735BC" w14:textId="1AF2597A" w:rsidR="00A42354" w:rsidRPr="00F44415" w:rsidRDefault="00A42354" w:rsidP="00875EC3">
      <w:pPr>
        <w:pStyle w:val="EndnoteText"/>
        <w:jc w:val="both"/>
        <w:rPr>
          <w:rFonts w:asciiTheme="minorHAnsi" w:hAnsiTheme="minorHAnsi" w:cs="Times New Roman"/>
          <w:sz w:val="22"/>
          <w:szCs w:val="22"/>
        </w:rPr>
      </w:pPr>
      <w:proofErr w:type="spellStart"/>
      <w:r w:rsidRPr="00F44415">
        <w:rPr>
          <w:rFonts w:asciiTheme="minorHAnsi" w:hAnsiTheme="minorHAnsi" w:cs="Times New Roman"/>
          <w:sz w:val="22"/>
          <w:szCs w:val="22"/>
        </w:rPr>
        <w:t>Sethi</w:t>
      </w:r>
      <w:proofErr w:type="spellEnd"/>
      <w:r w:rsidRPr="00F44415">
        <w:rPr>
          <w:rFonts w:asciiTheme="minorHAnsi" w:hAnsiTheme="minorHAnsi" w:cs="Times New Roman"/>
          <w:sz w:val="22"/>
          <w:szCs w:val="22"/>
        </w:rPr>
        <w:t xml:space="preserve">, A, </w:t>
      </w:r>
      <w:proofErr w:type="spellStart"/>
      <w:r w:rsidRPr="00F44415">
        <w:rPr>
          <w:rFonts w:asciiTheme="minorHAnsi" w:hAnsiTheme="minorHAnsi" w:cs="Times New Roman"/>
          <w:sz w:val="22"/>
          <w:szCs w:val="22"/>
        </w:rPr>
        <w:t>Ajjawi</w:t>
      </w:r>
      <w:proofErr w:type="spellEnd"/>
      <w:r w:rsidRPr="00F44415">
        <w:rPr>
          <w:rFonts w:asciiTheme="minorHAnsi" w:hAnsiTheme="minorHAnsi" w:cs="Times New Roman"/>
          <w:sz w:val="22"/>
          <w:szCs w:val="22"/>
        </w:rPr>
        <w:t xml:space="preserve">, R, </w:t>
      </w:r>
      <w:proofErr w:type="spellStart"/>
      <w:r w:rsidRPr="00F44415">
        <w:rPr>
          <w:rFonts w:asciiTheme="minorHAnsi" w:hAnsiTheme="minorHAnsi" w:cs="Times New Roman"/>
          <w:sz w:val="22"/>
          <w:szCs w:val="22"/>
        </w:rPr>
        <w:t>McAleer</w:t>
      </w:r>
      <w:proofErr w:type="spellEnd"/>
      <w:r w:rsidRPr="00F44415">
        <w:rPr>
          <w:rFonts w:asciiTheme="minorHAnsi" w:hAnsiTheme="minorHAnsi" w:cs="Times New Roman"/>
          <w:sz w:val="22"/>
          <w:szCs w:val="22"/>
        </w:rPr>
        <w:t xml:space="preserve">, S </w:t>
      </w:r>
      <w:r w:rsidR="00163BA6">
        <w:rPr>
          <w:rFonts w:asciiTheme="minorHAnsi" w:hAnsiTheme="minorHAnsi" w:cs="Times New Roman"/>
          <w:sz w:val="22"/>
          <w:szCs w:val="22"/>
        </w:rPr>
        <w:t>&amp;</w:t>
      </w:r>
      <w:r w:rsidR="00163BA6" w:rsidRPr="00F44415">
        <w:rPr>
          <w:rFonts w:asciiTheme="minorHAnsi" w:hAnsiTheme="minorHAnsi" w:cs="Times New Roman"/>
          <w:sz w:val="22"/>
          <w:szCs w:val="22"/>
        </w:rPr>
        <w:t xml:space="preserve"> </w:t>
      </w:r>
      <w:r w:rsidRPr="00F44415">
        <w:rPr>
          <w:rFonts w:asciiTheme="minorHAnsi" w:hAnsiTheme="minorHAnsi" w:cs="Times New Roman"/>
          <w:sz w:val="22"/>
          <w:szCs w:val="22"/>
        </w:rPr>
        <w:t xml:space="preserve">Schofield, S. 2017. Exploring the tensions of being and becoming a medical educator. </w:t>
      </w:r>
      <w:r w:rsidRPr="00F44415">
        <w:rPr>
          <w:rFonts w:asciiTheme="minorHAnsi" w:hAnsiTheme="minorHAnsi" w:cs="Times New Roman"/>
          <w:i/>
          <w:sz w:val="22"/>
          <w:szCs w:val="22"/>
        </w:rPr>
        <w:t>BMC Medical Education</w:t>
      </w:r>
      <w:r w:rsidRPr="00F44415">
        <w:rPr>
          <w:rFonts w:asciiTheme="minorHAnsi" w:hAnsiTheme="minorHAnsi" w:cs="Times New Roman"/>
          <w:sz w:val="22"/>
          <w:szCs w:val="22"/>
        </w:rPr>
        <w:t xml:space="preserve"> 17: 62</w:t>
      </w:r>
      <w:r w:rsidR="00163BA6">
        <w:rPr>
          <w:rFonts w:asciiTheme="minorHAnsi" w:hAnsiTheme="minorHAnsi" w:cs="Times New Roman"/>
          <w:sz w:val="22"/>
          <w:szCs w:val="22"/>
        </w:rPr>
        <w:t>.</w:t>
      </w:r>
      <w:r w:rsidRPr="00F44415">
        <w:rPr>
          <w:rFonts w:asciiTheme="minorHAnsi" w:hAnsiTheme="minorHAnsi" w:cs="Times New Roman"/>
          <w:sz w:val="22"/>
          <w:szCs w:val="22"/>
        </w:rPr>
        <w:t xml:space="preserve"> </w:t>
      </w:r>
    </w:p>
    <w:p w14:paraId="5DC55525" w14:textId="77777777" w:rsidR="00875EC3" w:rsidRPr="00F44415" w:rsidRDefault="00875EC3" w:rsidP="00875EC3">
      <w:pPr>
        <w:spacing w:after="0" w:line="240" w:lineRule="auto"/>
        <w:jc w:val="both"/>
      </w:pPr>
    </w:p>
    <w:p w14:paraId="76606333" w14:textId="5E5F6433" w:rsidR="00A42354" w:rsidRPr="00F44415" w:rsidRDefault="00A42354" w:rsidP="00875EC3">
      <w:pPr>
        <w:spacing w:after="0" w:line="240" w:lineRule="auto"/>
        <w:jc w:val="both"/>
      </w:pPr>
      <w:proofErr w:type="spellStart"/>
      <w:r w:rsidRPr="00F44415">
        <w:t>Sundberg</w:t>
      </w:r>
      <w:proofErr w:type="spellEnd"/>
      <w:r w:rsidRPr="00F44415">
        <w:t xml:space="preserve">, K, Josephson, A, Reeves, S </w:t>
      </w:r>
      <w:r w:rsidR="00F82F21">
        <w:t>&amp;</w:t>
      </w:r>
      <w:r w:rsidR="00F82F21" w:rsidRPr="00F44415">
        <w:t xml:space="preserve"> </w:t>
      </w:r>
      <w:proofErr w:type="spellStart"/>
      <w:r w:rsidRPr="00F44415">
        <w:t>Nordquist</w:t>
      </w:r>
      <w:proofErr w:type="spellEnd"/>
      <w:r w:rsidRPr="00F44415">
        <w:t xml:space="preserve">, J. 2017. May I see your ID, please? An explorative study of the professional identity of undergraduate medical education leaders. </w:t>
      </w:r>
      <w:r w:rsidRPr="00F44415">
        <w:rPr>
          <w:i/>
        </w:rPr>
        <w:t>BMC Medical Education</w:t>
      </w:r>
      <w:r w:rsidRPr="00F44415">
        <w:t xml:space="preserve"> 17:</w:t>
      </w:r>
      <w:r w:rsidR="00F82F21">
        <w:t xml:space="preserve"> </w:t>
      </w:r>
      <w:r w:rsidRPr="00F44415">
        <w:t xml:space="preserve">29. </w:t>
      </w:r>
    </w:p>
    <w:p w14:paraId="7CC59D20" w14:textId="77777777" w:rsidR="00F13250" w:rsidRPr="00F44415" w:rsidRDefault="00F13250" w:rsidP="00875EC3">
      <w:pPr>
        <w:spacing w:after="0" w:line="240" w:lineRule="auto"/>
        <w:jc w:val="both"/>
      </w:pPr>
    </w:p>
    <w:p w14:paraId="6ACA97E8" w14:textId="5F9DF048" w:rsidR="00A42354" w:rsidRPr="00F44415" w:rsidRDefault="00A42354" w:rsidP="00875EC3">
      <w:pPr>
        <w:spacing w:after="0" w:line="240" w:lineRule="auto"/>
        <w:jc w:val="both"/>
        <w:rPr>
          <w:rFonts w:cs="Times New Roman"/>
        </w:rPr>
      </w:pPr>
      <w:proofErr w:type="spellStart"/>
      <w:r w:rsidRPr="00F44415">
        <w:rPr>
          <w:rFonts w:cs="Times New Roman"/>
        </w:rPr>
        <w:t>Stierer</w:t>
      </w:r>
      <w:proofErr w:type="spellEnd"/>
      <w:r w:rsidRPr="00F44415">
        <w:rPr>
          <w:rFonts w:cs="Times New Roman"/>
        </w:rPr>
        <w:t xml:space="preserve">, B. 2008. Learning to write about teaching: </w:t>
      </w:r>
      <w:r w:rsidR="00F82F21">
        <w:rPr>
          <w:rFonts w:cs="Times New Roman"/>
        </w:rPr>
        <w:t>u</w:t>
      </w:r>
      <w:r w:rsidRPr="00F44415">
        <w:rPr>
          <w:rFonts w:cs="Times New Roman"/>
        </w:rPr>
        <w:t>nderstanding the writing demands of lecturer development programmes in higher education</w:t>
      </w:r>
      <w:r w:rsidR="00F82F21">
        <w:rPr>
          <w:rFonts w:cs="Times New Roman"/>
        </w:rPr>
        <w:t>,</w:t>
      </w:r>
      <w:r w:rsidRPr="00F44415">
        <w:rPr>
          <w:rFonts w:cs="Times New Roman"/>
        </w:rPr>
        <w:t xml:space="preserve"> </w:t>
      </w:r>
      <w:r w:rsidR="00F82F21">
        <w:rPr>
          <w:rFonts w:cs="Times New Roman"/>
        </w:rPr>
        <w:t>i</w:t>
      </w:r>
      <w:r w:rsidRPr="00F44415">
        <w:rPr>
          <w:rFonts w:cs="Times New Roman"/>
        </w:rPr>
        <w:t xml:space="preserve">n </w:t>
      </w:r>
      <w:r w:rsidRPr="000B0981">
        <w:rPr>
          <w:rFonts w:cs="Times New Roman"/>
          <w:i/>
        </w:rPr>
        <w:t>The Scholarship of teaching and learning in higher education</w:t>
      </w:r>
      <w:r w:rsidRPr="00F44415">
        <w:rPr>
          <w:rFonts w:cs="Times New Roman"/>
        </w:rPr>
        <w:t xml:space="preserve">, </w:t>
      </w:r>
      <w:r w:rsidR="00F82F21">
        <w:rPr>
          <w:rFonts w:cs="Times New Roman"/>
        </w:rPr>
        <w:t>edited by</w:t>
      </w:r>
      <w:r w:rsidR="00F82F21" w:rsidRPr="00F44415">
        <w:rPr>
          <w:rFonts w:cs="Times New Roman"/>
        </w:rPr>
        <w:t xml:space="preserve"> </w:t>
      </w:r>
      <w:r w:rsidRPr="00F44415">
        <w:rPr>
          <w:rFonts w:cs="Times New Roman"/>
        </w:rPr>
        <w:t>R Murray</w:t>
      </w:r>
      <w:r w:rsidR="00F82F21">
        <w:rPr>
          <w:rFonts w:cs="Times New Roman"/>
        </w:rPr>
        <w:t>.</w:t>
      </w:r>
      <w:r w:rsidRPr="00F44415">
        <w:rPr>
          <w:rFonts w:cs="Times New Roman"/>
        </w:rPr>
        <w:t xml:space="preserve"> </w:t>
      </w:r>
      <w:r w:rsidR="00F82F21" w:rsidRPr="00F44415">
        <w:rPr>
          <w:rFonts w:cs="Times New Roman"/>
        </w:rPr>
        <w:t>Maidenhead: Open University Press</w:t>
      </w:r>
      <w:r w:rsidR="00F82F21">
        <w:rPr>
          <w:rFonts w:cs="Times New Roman"/>
        </w:rPr>
        <w:t xml:space="preserve">: </w:t>
      </w:r>
      <w:r w:rsidRPr="00F44415">
        <w:rPr>
          <w:rFonts w:cs="Times New Roman"/>
        </w:rPr>
        <w:t xml:space="preserve">34-46. </w:t>
      </w:r>
    </w:p>
    <w:p w14:paraId="79328D33" w14:textId="77777777" w:rsidR="00875EC3" w:rsidRPr="00F44415" w:rsidRDefault="00875EC3" w:rsidP="00875EC3">
      <w:pPr>
        <w:spacing w:after="0" w:line="240" w:lineRule="auto"/>
        <w:jc w:val="both"/>
      </w:pPr>
    </w:p>
    <w:p w14:paraId="235FC95A" w14:textId="1C0AF740" w:rsidR="00A42354" w:rsidRPr="00F44415" w:rsidRDefault="00A42354" w:rsidP="00875EC3">
      <w:pPr>
        <w:spacing w:after="0" w:line="240" w:lineRule="auto"/>
        <w:jc w:val="both"/>
      </w:pPr>
      <w:r w:rsidRPr="00F44415">
        <w:t xml:space="preserve">Taylor, E, </w:t>
      </w:r>
      <w:proofErr w:type="spellStart"/>
      <w:r w:rsidRPr="00F44415">
        <w:t>Tisdell</w:t>
      </w:r>
      <w:proofErr w:type="spellEnd"/>
      <w:r w:rsidRPr="00F44415">
        <w:t xml:space="preserve">, E </w:t>
      </w:r>
      <w:r w:rsidR="00F82F21">
        <w:t>&amp;</w:t>
      </w:r>
      <w:r w:rsidR="00F82F21" w:rsidRPr="00F44415">
        <w:t xml:space="preserve"> </w:t>
      </w:r>
      <w:proofErr w:type="spellStart"/>
      <w:r w:rsidRPr="00F44415">
        <w:t>Gusic</w:t>
      </w:r>
      <w:proofErr w:type="spellEnd"/>
      <w:r w:rsidRPr="00F44415">
        <w:t xml:space="preserve">, M. 2007. Teaching beliefs of medical educators: perspectives on clinical teaching in paediatrics. </w:t>
      </w:r>
      <w:r w:rsidRPr="00F44415">
        <w:rPr>
          <w:i/>
        </w:rPr>
        <w:t>Medical Teacher</w:t>
      </w:r>
      <w:r w:rsidR="00F82F21">
        <w:t xml:space="preserve"> </w:t>
      </w:r>
      <w:r w:rsidRPr="00F44415">
        <w:t>29: 371-376.</w:t>
      </w:r>
    </w:p>
    <w:p w14:paraId="2CBC43DC" w14:textId="77777777" w:rsidR="00875EC3" w:rsidRPr="00F44415" w:rsidRDefault="00875EC3" w:rsidP="00875EC3">
      <w:pPr>
        <w:spacing w:after="0" w:line="240" w:lineRule="auto"/>
        <w:jc w:val="both"/>
        <w:rPr>
          <w:rFonts w:eastAsia="Times New Roman" w:cs="Times New Roman"/>
        </w:rPr>
      </w:pPr>
    </w:p>
    <w:p w14:paraId="5E98DAFD" w14:textId="0C93F24A" w:rsidR="00A42354" w:rsidRPr="00F44415" w:rsidRDefault="00A42354" w:rsidP="00875EC3">
      <w:pPr>
        <w:spacing w:after="0" w:line="240" w:lineRule="auto"/>
        <w:jc w:val="both"/>
        <w:rPr>
          <w:rFonts w:eastAsia="Times New Roman" w:cs="Times New Roman"/>
        </w:rPr>
      </w:pPr>
      <w:proofErr w:type="spellStart"/>
      <w:r w:rsidRPr="00F44415">
        <w:rPr>
          <w:rFonts w:eastAsia="Times New Roman" w:cs="Times New Roman"/>
        </w:rPr>
        <w:t>Tekian</w:t>
      </w:r>
      <w:proofErr w:type="spellEnd"/>
      <w:r w:rsidRPr="00F44415">
        <w:rPr>
          <w:rFonts w:eastAsia="Times New Roman" w:cs="Times New Roman"/>
        </w:rPr>
        <w:t xml:space="preserve">, A &amp; Harris, I. 2012. Preparing health professions education leaders worldwide: </w:t>
      </w:r>
      <w:r w:rsidR="00F82F21">
        <w:rPr>
          <w:rFonts w:eastAsia="Times New Roman" w:cs="Times New Roman"/>
        </w:rPr>
        <w:t>a</w:t>
      </w:r>
      <w:r w:rsidRPr="00F44415">
        <w:rPr>
          <w:rFonts w:eastAsia="Times New Roman" w:cs="Times New Roman"/>
        </w:rPr>
        <w:t xml:space="preserve"> description of masters-level programmes. </w:t>
      </w:r>
      <w:r w:rsidRPr="00F44415">
        <w:rPr>
          <w:rFonts w:eastAsia="Times New Roman" w:cs="Times New Roman"/>
          <w:i/>
        </w:rPr>
        <w:t>Medical Teacher</w:t>
      </w:r>
      <w:r w:rsidR="00F82F21">
        <w:rPr>
          <w:rFonts w:eastAsia="Times New Roman" w:cs="Times New Roman"/>
        </w:rPr>
        <w:t xml:space="preserve"> </w:t>
      </w:r>
      <w:r w:rsidRPr="00F44415">
        <w:rPr>
          <w:rFonts w:eastAsia="Times New Roman" w:cs="Times New Roman"/>
        </w:rPr>
        <w:t xml:space="preserve">34(1): 52-58. </w:t>
      </w:r>
    </w:p>
    <w:p w14:paraId="29160D34" w14:textId="77777777" w:rsidR="00875EC3" w:rsidRPr="00F44415" w:rsidRDefault="00875EC3" w:rsidP="00875EC3">
      <w:pPr>
        <w:spacing w:after="0" w:line="240" w:lineRule="auto"/>
        <w:jc w:val="both"/>
        <w:rPr>
          <w:rFonts w:cs="Times New Roman"/>
        </w:rPr>
      </w:pPr>
    </w:p>
    <w:p w14:paraId="4E054FF1" w14:textId="0F944B4A" w:rsidR="00A42354" w:rsidRPr="00F44415" w:rsidRDefault="00A42354" w:rsidP="00875EC3">
      <w:pPr>
        <w:spacing w:after="0" w:line="240" w:lineRule="auto"/>
        <w:jc w:val="both"/>
        <w:rPr>
          <w:rFonts w:eastAsia="Times New Roman" w:cs="Times New Roman"/>
        </w:rPr>
      </w:pPr>
      <w:proofErr w:type="spellStart"/>
      <w:r w:rsidRPr="00F44415">
        <w:rPr>
          <w:rFonts w:cs="Times New Roman"/>
        </w:rPr>
        <w:t>Tekian</w:t>
      </w:r>
      <w:proofErr w:type="spellEnd"/>
      <w:r w:rsidRPr="00F44415">
        <w:rPr>
          <w:rFonts w:cs="Times New Roman"/>
        </w:rPr>
        <w:t xml:space="preserve">, A &amp; </w:t>
      </w:r>
      <w:proofErr w:type="spellStart"/>
      <w:r w:rsidRPr="00F44415">
        <w:rPr>
          <w:rFonts w:cs="Times New Roman"/>
        </w:rPr>
        <w:t>Artino</w:t>
      </w:r>
      <w:proofErr w:type="spellEnd"/>
      <w:r w:rsidRPr="00F44415">
        <w:rPr>
          <w:rFonts w:cs="Times New Roman"/>
        </w:rPr>
        <w:t xml:space="preserve"> Jr, AR. 2013. Academic Medicine last page: master’s degree in health professions education programmes. </w:t>
      </w:r>
      <w:r w:rsidRPr="00F44415">
        <w:rPr>
          <w:rFonts w:cs="Times New Roman"/>
          <w:i/>
        </w:rPr>
        <w:t>Academic Medicine</w:t>
      </w:r>
      <w:r w:rsidRPr="00F44415">
        <w:rPr>
          <w:rFonts w:cs="Times New Roman"/>
        </w:rPr>
        <w:t xml:space="preserve"> 88(9):</w:t>
      </w:r>
      <w:r w:rsidR="00F82F21">
        <w:rPr>
          <w:rFonts w:cs="Times New Roman"/>
        </w:rPr>
        <w:t xml:space="preserve"> </w:t>
      </w:r>
      <w:r w:rsidRPr="00F44415">
        <w:rPr>
          <w:rFonts w:cs="Times New Roman"/>
        </w:rPr>
        <w:t>1399.</w:t>
      </w:r>
    </w:p>
    <w:p w14:paraId="3CD8B867" w14:textId="77777777" w:rsidR="00875EC3" w:rsidRPr="00F44415" w:rsidRDefault="00875EC3" w:rsidP="00875EC3">
      <w:pPr>
        <w:spacing w:after="0" w:line="240" w:lineRule="auto"/>
        <w:jc w:val="both"/>
        <w:rPr>
          <w:rFonts w:cs="Times New Roman"/>
        </w:rPr>
      </w:pPr>
    </w:p>
    <w:p w14:paraId="43669367" w14:textId="75AB6388" w:rsidR="00902B7B" w:rsidRDefault="00A42354" w:rsidP="00875EC3">
      <w:pPr>
        <w:spacing w:after="0" w:line="240" w:lineRule="auto"/>
        <w:jc w:val="both"/>
        <w:rPr>
          <w:rFonts w:cs="Times New Roman"/>
        </w:rPr>
      </w:pPr>
      <w:proofErr w:type="spellStart"/>
      <w:r w:rsidRPr="00F44415">
        <w:rPr>
          <w:rFonts w:cs="Times New Roman"/>
        </w:rPr>
        <w:t>Teunissen</w:t>
      </w:r>
      <w:proofErr w:type="spellEnd"/>
      <w:r w:rsidRPr="00F44415">
        <w:rPr>
          <w:rFonts w:cs="Times New Roman"/>
        </w:rPr>
        <w:t xml:space="preserve">, PW &amp; </w:t>
      </w:r>
      <w:proofErr w:type="spellStart"/>
      <w:r w:rsidRPr="00F44415">
        <w:rPr>
          <w:rFonts w:cs="Times New Roman"/>
        </w:rPr>
        <w:t>Westerman</w:t>
      </w:r>
      <w:proofErr w:type="spellEnd"/>
      <w:r w:rsidRPr="00F44415">
        <w:rPr>
          <w:rFonts w:cs="Times New Roman"/>
        </w:rPr>
        <w:t xml:space="preserve">, M. 2010. Opportunity and threat: the ambiguity of the consequences of transition in medical education. </w:t>
      </w:r>
      <w:r w:rsidRPr="00F44415">
        <w:rPr>
          <w:rFonts w:cs="Times New Roman"/>
          <w:i/>
        </w:rPr>
        <w:t>Medical Education</w:t>
      </w:r>
      <w:r w:rsidRPr="00F44415">
        <w:rPr>
          <w:rFonts w:cs="Times New Roman"/>
        </w:rPr>
        <w:t xml:space="preserve"> 45:</w:t>
      </w:r>
      <w:r w:rsidR="00F82F21">
        <w:rPr>
          <w:rFonts w:cs="Times New Roman"/>
        </w:rPr>
        <w:t xml:space="preserve"> </w:t>
      </w:r>
      <w:r w:rsidRPr="00F44415">
        <w:rPr>
          <w:rFonts w:cs="Times New Roman"/>
        </w:rPr>
        <w:t>51-59</w:t>
      </w:r>
      <w:r w:rsidR="00F82F21">
        <w:rPr>
          <w:rFonts w:cs="Times New Roman"/>
        </w:rPr>
        <w:t>.</w:t>
      </w:r>
      <w:r w:rsidRPr="00F44415">
        <w:rPr>
          <w:rFonts w:cs="Times New Roman"/>
        </w:rPr>
        <w:t xml:space="preserve"> </w:t>
      </w:r>
    </w:p>
    <w:p w14:paraId="33C982F2" w14:textId="77777777" w:rsidR="00875EC3" w:rsidRPr="00F44415" w:rsidRDefault="00875EC3" w:rsidP="00875EC3">
      <w:pPr>
        <w:widowControl w:val="0"/>
        <w:autoSpaceDE w:val="0"/>
        <w:autoSpaceDN w:val="0"/>
        <w:adjustRightInd w:val="0"/>
        <w:spacing w:after="0" w:line="240" w:lineRule="auto"/>
        <w:jc w:val="both"/>
        <w:rPr>
          <w:rFonts w:cs="Times New Roman"/>
        </w:rPr>
      </w:pPr>
    </w:p>
    <w:p w14:paraId="54B14578" w14:textId="77777777" w:rsidR="00A42354" w:rsidRPr="00F44415" w:rsidRDefault="00A42354" w:rsidP="00875EC3">
      <w:pPr>
        <w:widowControl w:val="0"/>
        <w:autoSpaceDE w:val="0"/>
        <w:autoSpaceDN w:val="0"/>
        <w:adjustRightInd w:val="0"/>
        <w:spacing w:after="0" w:line="240" w:lineRule="auto"/>
        <w:jc w:val="both"/>
        <w:rPr>
          <w:rFonts w:cs="Times New Roman"/>
        </w:rPr>
      </w:pPr>
      <w:r w:rsidRPr="00F44415">
        <w:rPr>
          <w:rFonts w:cs="Times New Roman"/>
        </w:rPr>
        <w:t xml:space="preserve">Van </w:t>
      </w:r>
      <w:proofErr w:type="spellStart"/>
      <w:r w:rsidRPr="00F44415">
        <w:rPr>
          <w:rFonts w:cs="Times New Roman"/>
        </w:rPr>
        <w:t>Heerden</w:t>
      </w:r>
      <w:proofErr w:type="spellEnd"/>
      <w:r w:rsidRPr="00F44415">
        <w:rPr>
          <w:rFonts w:cs="Times New Roman"/>
        </w:rPr>
        <w:t xml:space="preserve">, B. 2009. Information about the MPhil in Health Sciences Education at Stellenbosch University. </w:t>
      </w:r>
      <w:r w:rsidRPr="00F44415">
        <w:rPr>
          <w:rFonts w:cs="Times New Roman"/>
          <w:i/>
        </w:rPr>
        <w:t>AJHPE</w:t>
      </w:r>
      <w:r w:rsidRPr="00F44415">
        <w:rPr>
          <w:rFonts w:cs="Times New Roman"/>
        </w:rPr>
        <w:t xml:space="preserve"> 1(1): 17.</w:t>
      </w:r>
    </w:p>
    <w:p w14:paraId="2FC2F858" w14:textId="77777777" w:rsidR="00875EC3" w:rsidRPr="00F44415" w:rsidRDefault="00875EC3" w:rsidP="00875EC3">
      <w:pPr>
        <w:pStyle w:val="EndnoteText"/>
        <w:jc w:val="both"/>
        <w:rPr>
          <w:rFonts w:asciiTheme="minorHAnsi" w:hAnsiTheme="minorHAnsi" w:cs="Times New Roman"/>
          <w:sz w:val="22"/>
          <w:szCs w:val="22"/>
        </w:rPr>
      </w:pPr>
    </w:p>
    <w:p w14:paraId="65BE0316" w14:textId="4B1651B7" w:rsidR="00A42354" w:rsidRPr="00F44415" w:rsidRDefault="00A42354" w:rsidP="00875EC3">
      <w:pPr>
        <w:pStyle w:val="EndnoteText"/>
        <w:jc w:val="both"/>
        <w:rPr>
          <w:rFonts w:asciiTheme="minorHAnsi" w:hAnsiTheme="minorHAnsi" w:cs="Times New Roman"/>
          <w:sz w:val="22"/>
          <w:szCs w:val="22"/>
        </w:rPr>
      </w:pPr>
      <w:r w:rsidRPr="00F44415">
        <w:rPr>
          <w:rFonts w:asciiTheme="minorHAnsi" w:hAnsiTheme="minorHAnsi" w:cs="Times New Roman"/>
          <w:sz w:val="22"/>
          <w:szCs w:val="22"/>
        </w:rPr>
        <w:t xml:space="preserve">Wenger, E. </w:t>
      </w:r>
      <w:r w:rsidR="00407414" w:rsidRPr="00F44415">
        <w:rPr>
          <w:rFonts w:asciiTheme="minorHAnsi" w:hAnsiTheme="minorHAnsi" w:cs="Times New Roman"/>
          <w:sz w:val="22"/>
          <w:szCs w:val="22"/>
        </w:rPr>
        <w:t xml:space="preserve">1999. </w:t>
      </w:r>
      <w:r w:rsidRPr="000B0981">
        <w:rPr>
          <w:rFonts w:asciiTheme="minorHAnsi" w:hAnsiTheme="minorHAnsi" w:cs="Times New Roman"/>
          <w:i/>
          <w:sz w:val="22"/>
          <w:szCs w:val="22"/>
        </w:rPr>
        <w:t>Communities of practice: Learning, meaning, and identity.</w:t>
      </w:r>
      <w:r w:rsidRPr="00F44415">
        <w:rPr>
          <w:rFonts w:asciiTheme="minorHAnsi" w:hAnsiTheme="minorHAnsi" w:cs="Times New Roman"/>
          <w:sz w:val="22"/>
          <w:szCs w:val="22"/>
        </w:rPr>
        <w:t xml:space="preserve"> Cambridge: Cambridge </w:t>
      </w:r>
      <w:r w:rsidR="00407414" w:rsidRPr="00F44415">
        <w:rPr>
          <w:rFonts w:asciiTheme="minorHAnsi" w:hAnsiTheme="minorHAnsi" w:cs="Times New Roman"/>
          <w:sz w:val="22"/>
          <w:szCs w:val="22"/>
        </w:rPr>
        <w:t>University Press</w:t>
      </w:r>
      <w:r w:rsidRPr="00F44415">
        <w:rPr>
          <w:rFonts w:asciiTheme="minorHAnsi" w:hAnsiTheme="minorHAnsi" w:cs="Times New Roman"/>
          <w:sz w:val="22"/>
          <w:szCs w:val="22"/>
        </w:rPr>
        <w:t>.</w:t>
      </w:r>
    </w:p>
    <w:p w14:paraId="458948E5" w14:textId="77777777" w:rsidR="00875EC3" w:rsidRPr="00F44415" w:rsidRDefault="00875EC3" w:rsidP="00875EC3">
      <w:pPr>
        <w:pStyle w:val="EndnoteText"/>
        <w:jc w:val="both"/>
        <w:rPr>
          <w:rFonts w:asciiTheme="minorHAnsi" w:hAnsiTheme="minorHAnsi" w:cs="Times New Roman"/>
          <w:sz w:val="22"/>
          <w:szCs w:val="22"/>
        </w:rPr>
      </w:pPr>
    </w:p>
    <w:p w14:paraId="3EBE543B" w14:textId="22C2BABB" w:rsidR="00A42354" w:rsidRPr="00F44415" w:rsidRDefault="00A42354" w:rsidP="00875EC3">
      <w:pPr>
        <w:pStyle w:val="EndnoteText"/>
        <w:jc w:val="both"/>
        <w:rPr>
          <w:rFonts w:asciiTheme="minorHAnsi" w:eastAsia="Times New Roman" w:hAnsiTheme="minorHAnsi" w:cs="Times New Roman"/>
          <w:sz w:val="22"/>
          <w:szCs w:val="22"/>
        </w:rPr>
      </w:pPr>
      <w:r w:rsidRPr="00F44415">
        <w:rPr>
          <w:rFonts w:asciiTheme="minorHAnsi" w:hAnsiTheme="minorHAnsi" w:cs="Times New Roman"/>
          <w:sz w:val="22"/>
          <w:szCs w:val="22"/>
        </w:rPr>
        <w:lastRenderedPageBreak/>
        <w:t xml:space="preserve">Whitcomb, ME. 2002. Research in medical education: what do we know about the link between what doctors are taught and what they do? </w:t>
      </w:r>
      <w:r w:rsidRPr="00F44415">
        <w:rPr>
          <w:rFonts w:asciiTheme="minorHAnsi" w:hAnsiTheme="minorHAnsi" w:cs="Times New Roman"/>
          <w:i/>
          <w:sz w:val="22"/>
          <w:szCs w:val="22"/>
        </w:rPr>
        <w:t>Academic Medicine</w:t>
      </w:r>
      <w:r w:rsidR="008136A6">
        <w:rPr>
          <w:rFonts w:asciiTheme="minorHAnsi" w:hAnsiTheme="minorHAnsi" w:cs="Times New Roman"/>
          <w:sz w:val="22"/>
          <w:szCs w:val="22"/>
        </w:rPr>
        <w:t xml:space="preserve"> </w:t>
      </w:r>
      <w:r w:rsidRPr="00F44415">
        <w:rPr>
          <w:rFonts w:asciiTheme="minorHAnsi" w:hAnsiTheme="minorHAnsi" w:cs="Times New Roman"/>
          <w:sz w:val="22"/>
          <w:szCs w:val="22"/>
        </w:rPr>
        <w:t>77: 1067-1068</w:t>
      </w:r>
      <w:r w:rsidR="008136A6">
        <w:rPr>
          <w:rFonts w:asciiTheme="minorHAnsi" w:hAnsiTheme="minorHAnsi" w:cs="Times New Roman"/>
          <w:sz w:val="22"/>
          <w:szCs w:val="22"/>
        </w:rPr>
        <w:t>.</w:t>
      </w:r>
      <w:r w:rsidRPr="00F44415">
        <w:rPr>
          <w:rFonts w:asciiTheme="minorHAnsi" w:hAnsiTheme="minorHAnsi" w:cs="Times New Roman"/>
          <w:sz w:val="22"/>
          <w:szCs w:val="22"/>
        </w:rPr>
        <w:t xml:space="preserve"> </w:t>
      </w:r>
    </w:p>
    <w:p w14:paraId="26B22983" w14:textId="77777777" w:rsidR="00875EC3" w:rsidRPr="00F44415" w:rsidRDefault="00875EC3" w:rsidP="00875EC3">
      <w:pPr>
        <w:pStyle w:val="EndnoteText"/>
        <w:jc w:val="both"/>
        <w:rPr>
          <w:rFonts w:asciiTheme="minorHAnsi" w:eastAsia="Times New Roman" w:hAnsiTheme="minorHAnsi" w:cs="Times New Roman"/>
          <w:sz w:val="22"/>
          <w:szCs w:val="22"/>
        </w:rPr>
      </w:pPr>
    </w:p>
    <w:p w14:paraId="1BEF4469" w14:textId="666BCBEE" w:rsidR="00A42354" w:rsidRPr="00F44415" w:rsidRDefault="00A42354" w:rsidP="00875EC3">
      <w:pPr>
        <w:pStyle w:val="EndnoteText"/>
        <w:jc w:val="both"/>
        <w:rPr>
          <w:rFonts w:asciiTheme="minorHAnsi" w:eastAsia="Times New Roman" w:hAnsiTheme="minorHAnsi" w:cs="Times New Roman"/>
          <w:sz w:val="22"/>
          <w:szCs w:val="22"/>
        </w:rPr>
      </w:pPr>
      <w:r w:rsidRPr="00F44415">
        <w:rPr>
          <w:rFonts w:asciiTheme="minorHAnsi" w:eastAsia="Times New Roman" w:hAnsiTheme="minorHAnsi" w:cs="Times New Roman"/>
          <w:sz w:val="22"/>
          <w:szCs w:val="22"/>
        </w:rPr>
        <w:t xml:space="preserve">White, CB. 2007. Smoothing out transitions: how pedagogy influences medical students’ achievement of self-regulated learning goals. </w:t>
      </w:r>
      <w:r w:rsidRPr="00F44415">
        <w:rPr>
          <w:rFonts w:asciiTheme="minorHAnsi" w:eastAsia="Times New Roman" w:hAnsiTheme="minorHAnsi" w:cs="Times New Roman"/>
          <w:i/>
          <w:sz w:val="22"/>
          <w:szCs w:val="22"/>
        </w:rPr>
        <w:t>Adv</w:t>
      </w:r>
      <w:r w:rsidR="00F61E90">
        <w:rPr>
          <w:rFonts w:asciiTheme="minorHAnsi" w:eastAsia="Times New Roman" w:hAnsiTheme="minorHAnsi" w:cs="Times New Roman"/>
          <w:i/>
          <w:sz w:val="22"/>
          <w:szCs w:val="22"/>
        </w:rPr>
        <w:t>ances in</w:t>
      </w:r>
      <w:r w:rsidRPr="00F44415">
        <w:rPr>
          <w:rFonts w:asciiTheme="minorHAnsi" w:eastAsia="Times New Roman" w:hAnsiTheme="minorHAnsi" w:cs="Times New Roman"/>
          <w:i/>
          <w:sz w:val="22"/>
          <w:szCs w:val="22"/>
        </w:rPr>
        <w:t xml:space="preserve"> Health Sci</w:t>
      </w:r>
      <w:r w:rsidR="00F61E90">
        <w:rPr>
          <w:rFonts w:asciiTheme="minorHAnsi" w:eastAsia="Times New Roman" w:hAnsiTheme="minorHAnsi" w:cs="Times New Roman"/>
          <w:i/>
          <w:sz w:val="22"/>
          <w:szCs w:val="22"/>
        </w:rPr>
        <w:t>ences</w:t>
      </w:r>
      <w:r w:rsidRPr="00F44415">
        <w:rPr>
          <w:rFonts w:asciiTheme="minorHAnsi" w:eastAsia="Times New Roman" w:hAnsiTheme="minorHAnsi" w:cs="Times New Roman"/>
          <w:i/>
          <w:sz w:val="22"/>
          <w:szCs w:val="22"/>
        </w:rPr>
        <w:t xml:space="preserve"> Educ</w:t>
      </w:r>
      <w:r w:rsidR="00F61E90">
        <w:rPr>
          <w:rFonts w:asciiTheme="minorHAnsi" w:eastAsia="Times New Roman" w:hAnsiTheme="minorHAnsi" w:cs="Times New Roman"/>
          <w:i/>
          <w:sz w:val="22"/>
          <w:szCs w:val="22"/>
        </w:rPr>
        <w:t>ation:</w:t>
      </w:r>
      <w:r w:rsidRPr="00F44415">
        <w:rPr>
          <w:rFonts w:asciiTheme="minorHAnsi" w:eastAsia="Times New Roman" w:hAnsiTheme="minorHAnsi" w:cs="Times New Roman"/>
          <w:i/>
          <w:sz w:val="22"/>
          <w:szCs w:val="22"/>
        </w:rPr>
        <w:t xml:space="preserve"> Theory </w:t>
      </w:r>
      <w:r w:rsidR="00F61E90">
        <w:rPr>
          <w:rFonts w:asciiTheme="minorHAnsi" w:eastAsia="Times New Roman" w:hAnsiTheme="minorHAnsi" w:cs="Times New Roman"/>
          <w:i/>
          <w:sz w:val="22"/>
          <w:szCs w:val="22"/>
        </w:rPr>
        <w:t xml:space="preserve">and </w:t>
      </w:r>
      <w:r w:rsidRPr="00F44415">
        <w:rPr>
          <w:rFonts w:asciiTheme="minorHAnsi" w:eastAsia="Times New Roman" w:hAnsiTheme="minorHAnsi" w:cs="Times New Roman"/>
          <w:i/>
          <w:sz w:val="22"/>
          <w:szCs w:val="22"/>
        </w:rPr>
        <w:t>Pract</w:t>
      </w:r>
      <w:r w:rsidR="00F61E90">
        <w:rPr>
          <w:rFonts w:asciiTheme="minorHAnsi" w:eastAsia="Times New Roman" w:hAnsiTheme="minorHAnsi" w:cs="Times New Roman"/>
          <w:i/>
          <w:sz w:val="22"/>
          <w:szCs w:val="22"/>
        </w:rPr>
        <w:t>ice</w:t>
      </w:r>
      <w:r w:rsidRPr="00F44415">
        <w:rPr>
          <w:rFonts w:asciiTheme="minorHAnsi" w:eastAsia="Times New Roman" w:hAnsiTheme="minorHAnsi" w:cs="Times New Roman"/>
          <w:sz w:val="22"/>
          <w:szCs w:val="22"/>
        </w:rPr>
        <w:t xml:space="preserve"> 12(3): 279-297.</w:t>
      </w:r>
    </w:p>
    <w:p w14:paraId="45201E00" w14:textId="77777777" w:rsidR="00875EC3" w:rsidRPr="00F44415" w:rsidRDefault="00875EC3" w:rsidP="00875EC3">
      <w:pPr>
        <w:spacing w:after="0" w:line="240" w:lineRule="auto"/>
        <w:jc w:val="both"/>
      </w:pPr>
    </w:p>
    <w:p w14:paraId="7C2BC621" w14:textId="7863F904" w:rsidR="00A42354" w:rsidRPr="00F44415" w:rsidRDefault="00A42354" w:rsidP="00875EC3">
      <w:pPr>
        <w:spacing w:after="0" w:line="240" w:lineRule="auto"/>
        <w:jc w:val="both"/>
      </w:pPr>
      <w:proofErr w:type="spellStart"/>
      <w:r w:rsidRPr="00F44415">
        <w:t>Yanos</w:t>
      </w:r>
      <w:proofErr w:type="spellEnd"/>
      <w:r w:rsidRPr="00F44415">
        <w:t xml:space="preserve">, PT &amp; </w:t>
      </w:r>
      <w:proofErr w:type="spellStart"/>
      <w:r w:rsidRPr="00F44415">
        <w:t>Ziedonis</w:t>
      </w:r>
      <w:proofErr w:type="spellEnd"/>
      <w:r w:rsidRPr="00F44415">
        <w:t xml:space="preserve">, DM. 2006. The patient-orientated clinician-researcher: advantages and challenges of being a double agent. </w:t>
      </w:r>
      <w:r w:rsidRPr="00F44415">
        <w:rPr>
          <w:i/>
        </w:rPr>
        <w:t>Psychiatr</w:t>
      </w:r>
      <w:r w:rsidR="00F61E90">
        <w:rPr>
          <w:i/>
        </w:rPr>
        <w:t>ic</w:t>
      </w:r>
      <w:r w:rsidRPr="00F44415">
        <w:rPr>
          <w:i/>
        </w:rPr>
        <w:t xml:space="preserve"> Serv</w:t>
      </w:r>
      <w:r w:rsidR="00F61E90">
        <w:rPr>
          <w:i/>
        </w:rPr>
        <w:t>ices</w:t>
      </w:r>
      <w:r w:rsidR="00285CD8" w:rsidRPr="00F44415">
        <w:t xml:space="preserve"> </w:t>
      </w:r>
      <w:r w:rsidRPr="00F44415">
        <w:t>7(2):</w:t>
      </w:r>
      <w:r w:rsidR="008136A6">
        <w:t xml:space="preserve"> </w:t>
      </w:r>
      <w:r w:rsidRPr="00F44415">
        <w:t>249-53.</w:t>
      </w:r>
    </w:p>
    <w:p w14:paraId="365CE1EA" w14:textId="77777777" w:rsidR="00875EC3" w:rsidRPr="00F44415" w:rsidRDefault="00875EC3" w:rsidP="00875EC3">
      <w:pPr>
        <w:spacing w:after="0" w:line="240" w:lineRule="auto"/>
        <w:jc w:val="both"/>
      </w:pPr>
    </w:p>
    <w:p w14:paraId="2453A6A6" w14:textId="60AFE609" w:rsidR="00A42354" w:rsidRPr="00F44415" w:rsidRDefault="00A42354" w:rsidP="00875EC3">
      <w:pPr>
        <w:spacing w:after="0" w:line="240" w:lineRule="auto"/>
        <w:jc w:val="both"/>
      </w:pPr>
      <w:proofErr w:type="spellStart"/>
      <w:r w:rsidRPr="00F44415">
        <w:t>Zibrowski</w:t>
      </w:r>
      <w:proofErr w:type="spellEnd"/>
      <w:r w:rsidRPr="00F44415">
        <w:t xml:space="preserve">, EM, Weston, WW </w:t>
      </w:r>
      <w:r w:rsidR="004D0BC1">
        <w:t>&amp;</w:t>
      </w:r>
      <w:r w:rsidR="004D0BC1" w:rsidRPr="00F44415">
        <w:t xml:space="preserve"> </w:t>
      </w:r>
      <w:proofErr w:type="spellStart"/>
      <w:r w:rsidRPr="00F44415">
        <w:t>Goldszmidt</w:t>
      </w:r>
      <w:proofErr w:type="spellEnd"/>
      <w:r w:rsidRPr="00F44415">
        <w:t xml:space="preserve">, MA. 2008. “I don’t have time”: issues of fragmentation, prioritisation and motivation for education scholarship among medical faculty. </w:t>
      </w:r>
      <w:r w:rsidRPr="00F44415">
        <w:rPr>
          <w:i/>
        </w:rPr>
        <w:t>Medical Education</w:t>
      </w:r>
      <w:r w:rsidRPr="00F44415">
        <w:t xml:space="preserve"> 42(9):</w:t>
      </w:r>
      <w:r w:rsidR="004D0BC1">
        <w:t xml:space="preserve"> </w:t>
      </w:r>
      <w:r w:rsidRPr="00F44415">
        <w:t>872-878.</w:t>
      </w:r>
    </w:p>
    <w:p w14:paraId="382D0393" w14:textId="77777777" w:rsidR="00A42354" w:rsidRPr="00F44415" w:rsidRDefault="00A42354" w:rsidP="00875EC3">
      <w:pPr>
        <w:spacing w:after="0" w:line="240" w:lineRule="auto"/>
        <w:jc w:val="both"/>
      </w:pPr>
    </w:p>
    <w:p w14:paraId="31EEED01" w14:textId="77777777" w:rsidR="00A42354" w:rsidRPr="00F44415" w:rsidRDefault="00A42354" w:rsidP="00875EC3">
      <w:pPr>
        <w:spacing w:after="0" w:line="240" w:lineRule="auto"/>
        <w:jc w:val="both"/>
      </w:pPr>
    </w:p>
    <w:p w14:paraId="36070798" w14:textId="77777777" w:rsidR="00A42354" w:rsidRPr="00F44415" w:rsidRDefault="00A42354" w:rsidP="00875EC3">
      <w:pPr>
        <w:spacing w:after="0" w:line="240" w:lineRule="auto"/>
        <w:jc w:val="both"/>
      </w:pPr>
    </w:p>
    <w:p w14:paraId="46BB2FF4" w14:textId="77777777" w:rsidR="00A42354" w:rsidRPr="008B2A40" w:rsidRDefault="00A42354" w:rsidP="00875EC3">
      <w:pPr>
        <w:pStyle w:val="EndnoteText"/>
        <w:jc w:val="both"/>
        <w:rPr>
          <w:rFonts w:asciiTheme="minorHAnsi" w:hAnsiTheme="minorHAnsi" w:cs="Times New Roman"/>
        </w:rPr>
      </w:pPr>
    </w:p>
    <w:p w14:paraId="162B8666" w14:textId="77777777" w:rsidR="00A42354" w:rsidRDefault="00A42354" w:rsidP="00875EC3">
      <w:pPr>
        <w:spacing w:after="0" w:line="240" w:lineRule="auto"/>
        <w:jc w:val="both"/>
        <w:rPr>
          <w:rFonts w:cs="Times New Roman"/>
          <w:b/>
          <w:sz w:val="24"/>
          <w:szCs w:val="24"/>
        </w:rPr>
      </w:pPr>
    </w:p>
    <w:p w14:paraId="2382541A" w14:textId="77777777" w:rsidR="00FC2953" w:rsidRDefault="00FC2953" w:rsidP="00875EC3">
      <w:pPr>
        <w:spacing w:after="0" w:line="240" w:lineRule="auto"/>
        <w:jc w:val="both"/>
        <w:rPr>
          <w:rFonts w:cs="Times New Roman"/>
          <w:b/>
          <w:sz w:val="24"/>
          <w:szCs w:val="24"/>
        </w:rPr>
      </w:pPr>
    </w:p>
    <w:p w14:paraId="59E13DD0" w14:textId="77777777" w:rsidR="00FC2953" w:rsidRDefault="00FC2953" w:rsidP="00875EC3">
      <w:pPr>
        <w:spacing w:after="0" w:line="240" w:lineRule="auto"/>
        <w:jc w:val="both"/>
        <w:rPr>
          <w:rFonts w:cs="Times New Roman"/>
          <w:b/>
          <w:sz w:val="24"/>
          <w:szCs w:val="24"/>
        </w:rPr>
      </w:pPr>
    </w:p>
    <w:p w14:paraId="310D42A2" w14:textId="77777777" w:rsidR="00FC2953" w:rsidRDefault="00FC2953" w:rsidP="00875EC3">
      <w:pPr>
        <w:spacing w:after="0" w:line="240" w:lineRule="auto"/>
        <w:jc w:val="both"/>
        <w:rPr>
          <w:rFonts w:cs="Times New Roman"/>
          <w:b/>
          <w:sz w:val="24"/>
          <w:szCs w:val="24"/>
        </w:rPr>
      </w:pPr>
    </w:p>
    <w:p w14:paraId="64C2142B" w14:textId="77777777" w:rsidR="00FC2953" w:rsidRDefault="00FC2953" w:rsidP="00875EC3">
      <w:pPr>
        <w:spacing w:after="0" w:line="240" w:lineRule="auto"/>
        <w:jc w:val="both"/>
        <w:rPr>
          <w:rFonts w:cs="Times New Roman"/>
          <w:b/>
          <w:sz w:val="24"/>
          <w:szCs w:val="24"/>
        </w:rPr>
      </w:pPr>
    </w:p>
    <w:p w14:paraId="048CB53A" w14:textId="77777777" w:rsidR="00FC2953" w:rsidRDefault="00FC2953" w:rsidP="00875EC3">
      <w:pPr>
        <w:spacing w:after="0" w:line="240" w:lineRule="auto"/>
        <w:jc w:val="both"/>
        <w:rPr>
          <w:rFonts w:cs="Times New Roman"/>
          <w:b/>
          <w:sz w:val="24"/>
          <w:szCs w:val="24"/>
        </w:rPr>
      </w:pPr>
    </w:p>
    <w:p w14:paraId="2511325C" w14:textId="77777777" w:rsidR="00FC2953" w:rsidRDefault="00FC2953" w:rsidP="00875EC3">
      <w:pPr>
        <w:spacing w:after="0" w:line="240" w:lineRule="auto"/>
        <w:jc w:val="both"/>
        <w:rPr>
          <w:rFonts w:cs="Times New Roman"/>
          <w:b/>
          <w:sz w:val="24"/>
          <w:szCs w:val="24"/>
        </w:rPr>
      </w:pPr>
    </w:p>
    <w:p w14:paraId="1FC5C76B" w14:textId="77777777" w:rsidR="00FC2953" w:rsidRDefault="00FC2953" w:rsidP="00875EC3">
      <w:pPr>
        <w:spacing w:after="0" w:line="240" w:lineRule="auto"/>
        <w:jc w:val="both"/>
        <w:rPr>
          <w:rFonts w:cs="Times New Roman"/>
          <w:b/>
          <w:sz w:val="24"/>
          <w:szCs w:val="24"/>
        </w:rPr>
      </w:pPr>
    </w:p>
    <w:p w14:paraId="01801F1A" w14:textId="77777777" w:rsidR="00FC2953" w:rsidRDefault="00FC2953" w:rsidP="00875EC3">
      <w:pPr>
        <w:spacing w:after="0" w:line="240" w:lineRule="auto"/>
        <w:jc w:val="both"/>
        <w:rPr>
          <w:rFonts w:cs="Times New Roman"/>
          <w:b/>
          <w:sz w:val="24"/>
          <w:szCs w:val="24"/>
        </w:rPr>
      </w:pPr>
    </w:p>
    <w:p w14:paraId="2B35EA02" w14:textId="77777777" w:rsidR="00FC2953" w:rsidRDefault="00FC2953" w:rsidP="00875EC3">
      <w:pPr>
        <w:spacing w:after="0" w:line="240" w:lineRule="auto"/>
        <w:jc w:val="both"/>
        <w:rPr>
          <w:rFonts w:cs="Times New Roman"/>
          <w:b/>
          <w:sz w:val="24"/>
          <w:szCs w:val="24"/>
        </w:rPr>
      </w:pPr>
    </w:p>
    <w:p w14:paraId="4E5F2618" w14:textId="77777777" w:rsidR="00FC2953" w:rsidRDefault="00FC2953" w:rsidP="00875EC3">
      <w:pPr>
        <w:spacing w:after="0" w:line="240" w:lineRule="auto"/>
        <w:jc w:val="both"/>
        <w:rPr>
          <w:rFonts w:cs="Times New Roman"/>
          <w:b/>
          <w:sz w:val="24"/>
          <w:szCs w:val="24"/>
        </w:rPr>
      </w:pPr>
    </w:p>
    <w:p w14:paraId="3345441E" w14:textId="77777777" w:rsidR="00FC2953" w:rsidRDefault="00FC2953" w:rsidP="00875EC3">
      <w:pPr>
        <w:spacing w:after="0" w:line="240" w:lineRule="auto"/>
        <w:jc w:val="both"/>
        <w:rPr>
          <w:rFonts w:cs="Times New Roman"/>
          <w:b/>
          <w:sz w:val="24"/>
          <w:szCs w:val="24"/>
        </w:rPr>
      </w:pPr>
    </w:p>
    <w:p w14:paraId="03530985" w14:textId="77777777" w:rsidR="00FC2953" w:rsidRDefault="00FC2953" w:rsidP="00875EC3">
      <w:pPr>
        <w:spacing w:after="0" w:line="240" w:lineRule="auto"/>
        <w:jc w:val="both"/>
        <w:rPr>
          <w:rFonts w:cs="Times New Roman"/>
          <w:b/>
          <w:sz w:val="24"/>
          <w:szCs w:val="24"/>
        </w:rPr>
      </w:pPr>
    </w:p>
    <w:p w14:paraId="23A0E5E5" w14:textId="77777777" w:rsidR="00FC2953" w:rsidRDefault="00FC2953" w:rsidP="00875EC3">
      <w:pPr>
        <w:spacing w:after="0" w:line="240" w:lineRule="auto"/>
        <w:jc w:val="both"/>
        <w:rPr>
          <w:rFonts w:cs="Times New Roman"/>
          <w:b/>
          <w:sz w:val="24"/>
          <w:szCs w:val="24"/>
        </w:rPr>
      </w:pPr>
    </w:p>
    <w:p w14:paraId="6EA04CF8" w14:textId="77777777" w:rsidR="00FC2953" w:rsidRDefault="00FC2953" w:rsidP="00875EC3">
      <w:pPr>
        <w:spacing w:after="0" w:line="240" w:lineRule="auto"/>
        <w:jc w:val="both"/>
        <w:rPr>
          <w:rFonts w:cs="Times New Roman"/>
          <w:b/>
          <w:sz w:val="24"/>
          <w:szCs w:val="24"/>
        </w:rPr>
      </w:pPr>
    </w:p>
    <w:p w14:paraId="16B5C194" w14:textId="77777777" w:rsidR="00FC2953" w:rsidRDefault="00FC2953" w:rsidP="00875EC3">
      <w:pPr>
        <w:spacing w:after="0" w:line="240" w:lineRule="auto"/>
        <w:jc w:val="both"/>
        <w:rPr>
          <w:rFonts w:cs="Times New Roman"/>
          <w:b/>
          <w:sz w:val="24"/>
          <w:szCs w:val="24"/>
        </w:rPr>
      </w:pPr>
    </w:p>
    <w:p w14:paraId="55D00B6E" w14:textId="77777777" w:rsidR="00FC2953" w:rsidRDefault="00FC2953" w:rsidP="00875EC3">
      <w:pPr>
        <w:spacing w:after="0" w:line="240" w:lineRule="auto"/>
        <w:jc w:val="both"/>
        <w:rPr>
          <w:rFonts w:cs="Times New Roman"/>
          <w:b/>
          <w:sz w:val="24"/>
          <w:szCs w:val="24"/>
        </w:rPr>
      </w:pPr>
    </w:p>
    <w:p w14:paraId="29534B70" w14:textId="77777777" w:rsidR="00FC2953" w:rsidRDefault="00FC2953" w:rsidP="00875EC3">
      <w:pPr>
        <w:spacing w:after="0" w:line="240" w:lineRule="auto"/>
        <w:jc w:val="both"/>
        <w:rPr>
          <w:rFonts w:cs="Times New Roman"/>
          <w:b/>
          <w:sz w:val="24"/>
          <w:szCs w:val="24"/>
        </w:rPr>
      </w:pPr>
    </w:p>
    <w:p w14:paraId="7B81BE4F" w14:textId="77777777" w:rsidR="00FC2953" w:rsidRDefault="00FC2953" w:rsidP="00875EC3">
      <w:pPr>
        <w:spacing w:after="0" w:line="240" w:lineRule="auto"/>
        <w:jc w:val="both"/>
        <w:rPr>
          <w:rFonts w:cs="Times New Roman"/>
          <w:b/>
          <w:sz w:val="24"/>
          <w:szCs w:val="24"/>
        </w:rPr>
      </w:pPr>
    </w:p>
    <w:p w14:paraId="3B6EC680" w14:textId="77777777" w:rsidR="00FC2953" w:rsidRDefault="00FC2953" w:rsidP="00875EC3">
      <w:pPr>
        <w:spacing w:after="0" w:line="240" w:lineRule="auto"/>
        <w:jc w:val="both"/>
        <w:rPr>
          <w:rFonts w:cs="Times New Roman"/>
          <w:b/>
          <w:sz w:val="24"/>
          <w:szCs w:val="24"/>
        </w:rPr>
      </w:pPr>
    </w:p>
    <w:p w14:paraId="23C1E243" w14:textId="77777777" w:rsidR="00FC2953" w:rsidRDefault="00FC2953" w:rsidP="00875EC3">
      <w:pPr>
        <w:spacing w:after="0" w:line="240" w:lineRule="auto"/>
        <w:jc w:val="both"/>
        <w:rPr>
          <w:rFonts w:cs="Times New Roman"/>
          <w:b/>
          <w:sz w:val="24"/>
          <w:szCs w:val="24"/>
        </w:rPr>
      </w:pPr>
    </w:p>
    <w:p w14:paraId="6011DBEF" w14:textId="77777777" w:rsidR="00FC2953" w:rsidRDefault="00FC2953" w:rsidP="00875EC3">
      <w:pPr>
        <w:spacing w:after="0" w:line="240" w:lineRule="auto"/>
        <w:jc w:val="both"/>
        <w:rPr>
          <w:rFonts w:cs="Times New Roman"/>
          <w:b/>
          <w:sz w:val="24"/>
          <w:szCs w:val="24"/>
        </w:rPr>
      </w:pPr>
    </w:p>
    <w:p w14:paraId="282F577D" w14:textId="77777777" w:rsidR="00FC2953" w:rsidRPr="008B2A40" w:rsidRDefault="00FC2953" w:rsidP="00875EC3">
      <w:pPr>
        <w:spacing w:after="0" w:line="240" w:lineRule="auto"/>
        <w:jc w:val="both"/>
        <w:rPr>
          <w:rFonts w:cs="Times New Roman"/>
          <w:b/>
          <w:sz w:val="24"/>
          <w:szCs w:val="24"/>
        </w:rPr>
      </w:pPr>
    </w:p>
    <w:p w14:paraId="5A6ACCEA" w14:textId="77777777" w:rsidR="009E59CA" w:rsidRDefault="009E59CA" w:rsidP="009E59CA">
      <w:pPr>
        <w:spacing w:after="0" w:line="276" w:lineRule="auto"/>
        <w:jc w:val="both"/>
      </w:pPr>
    </w:p>
    <w:p w14:paraId="4E44153C" w14:textId="77777777" w:rsidR="009E59CA" w:rsidRDefault="009E59CA" w:rsidP="009E59CA">
      <w:pPr>
        <w:spacing w:after="0" w:line="240" w:lineRule="auto"/>
        <w:jc w:val="both"/>
        <w:rPr>
          <w:color w:val="7B7B7B" w:themeColor="accent3" w:themeShade="BF"/>
          <w:sz w:val="20"/>
        </w:rPr>
      </w:pPr>
      <w:r w:rsidRPr="00067C64">
        <w:rPr>
          <w:noProof/>
          <w:sz w:val="20"/>
          <w:lang w:eastAsia="en-GB"/>
        </w:rPr>
        <w:drawing>
          <wp:anchor distT="0" distB="0" distL="114300" distR="114300" simplePos="0" relativeHeight="251663360" behindDoc="0" locked="0" layoutInCell="1" allowOverlap="1" wp14:anchorId="24EF6BAD" wp14:editId="10028D43">
            <wp:simplePos x="0" y="0"/>
            <wp:positionH relativeFrom="column">
              <wp:posOffset>0</wp:posOffset>
            </wp:positionH>
            <wp:positionV relativeFrom="paragraph">
              <wp:posOffset>-304</wp:posOffset>
            </wp:positionV>
            <wp:extent cx="835025" cy="294005"/>
            <wp:effectExtent l="0" t="0" r="3175" b="0"/>
            <wp:wrapSquare wrapText="bothSides"/>
            <wp:docPr id="4" name="Picture 4"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067C64">
        <w:rPr>
          <w:color w:val="7B7B7B" w:themeColor="accent3" w:themeShade="BF"/>
          <w:sz w:val="20"/>
        </w:rPr>
        <w:t xml:space="preserve">This work is licensed under the Creative Commons Attribution 4.0 International License. To view a copy of this license, visit </w:t>
      </w:r>
      <w:hyperlink r:id="rId14" w:history="1">
        <w:r w:rsidRPr="001D6A4C">
          <w:rPr>
            <w:rStyle w:val="Hyperlink"/>
            <w:sz w:val="20"/>
          </w:rPr>
          <w:t>http://creativecommons.org/licenses/by/4.0/</w:t>
        </w:r>
      </w:hyperlink>
      <w:r w:rsidRPr="00067C64">
        <w:rPr>
          <w:color w:val="7B7B7B" w:themeColor="accent3" w:themeShade="BF"/>
          <w:sz w:val="20"/>
        </w:rPr>
        <w:t xml:space="preserve"> </w:t>
      </w:r>
    </w:p>
    <w:p w14:paraId="1ECFB9F8" w14:textId="77777777" w:rsidR="00905845" w:rsidRPr="008B2A40" w:rsidRDefault="00905845" w:rsidP="00875EC3">
      <w:pPr>
        <w:spacing w:after="0" w:line="240" w:lineRule="auto"/>
        <w:jc w:val="both"/>
        <w:rPr>
          <w:rFonts w:ascii="Calibri" w:hAnsi="Calibri"/>
          <w:b/>
          <w:color w:val="404040" w:themeColor="text1" w:themeTint="BF"/>
          <w:sz w:val="24"/>
          <w:szCs w:val="28"/>
        </w:rPr>
      </w:pPr>
    </w:p>
    <w:sectPr w:rsidR="00905845" w:rsidRPr="008B2A40" w:rsidSect="002D2135">
      <w:type w:val="continuous"/>
      <w:pgSz w:w="11906" w:h="16838"/>
      <w:pgMar w:top="1440" w:right="1440" w:bottom="1440" w:left="1440" w:header="567" w:footer="567" w:gutter="0"/>
      <w:pgNumType w:start="7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3202" w14:textId="77777777" w:rsidR="009949F7" w:rsidRDefault="009949F7" w:rsidP="00E531E9">
      <w:pPr>
        <w:spacing w:after="0" w:line="240" w:lineRule="auto"/>
      </w:pPr>
      <w:r>
        <w:separator/>
      </w:r>
    </w:p>
  </w:endnote>
  <w:endnote w:type="continuationSeparator" w:id="0">
    <w:p w14:paraId="4DC72524" w14:textId="77777777" w:rsidR="009949F7" w:rsidRDefault="009949F7"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DA6C" w14:textId="77777777" w:rsidR="00D0122E" w:rsidRDefault="00D01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59894"/>
      <w:docPartObj>
        <w:docPartGallery w:val="Page Numbers (Bottom of Page)"/>
        <w:docPartUnique/>
      </w:docPartObj>
    </w:sdtPr>
    <w:sdtEndPr>
      <w:rPr>
        <w:noProof/>
      </w:rPr>
    </w:sdtEndPr>
    <w:sdtContent>
      <w:p w14:paraId="368C9E78" w14:textId="77777777" w:rsidR="00BA56CF" w:rsidRDefault="00BA56CF">
        <w:pPr>
          <w:pStyle w:val="Footer"/>
          <w:jc w:val="center"/>
        </w:pPr>
        <w:r>
          <w:fldChar w:fldCharType="begin"/>
        </w:r>
        <w:r>
          <w:instrText xml:space="preserve"> PAGE   \* MERGEFORMAT </w:instrText>
        </w:r>
        <w:r>
          <w:fldChar w:fldCharType="separate"/>
        </w:r>
        <w:r w:rsidR="00A26701">
          <w:rPr>
            <w:noProof/>
          </w:rPr>
          <w:t>88</w:t>
        </w:r>
        <w:r>
          <w:rPr>
            <w:noProof/>
          </w:rPr>
          <w:fldChar w:fldCharType="end"/>
        </w:r>
      </w:p>
    </w:sdtContent>
  </w:sdt>
  <w:p w14:paraId="4BA825DA" w14:textId="77777777" w:rsidR="00BA56CF" w:rsidRPr="00CB0E47" w:rsidRDefault="00BA56CF" w:rsidP="002915A0">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1E31E699" wp14:editId="7B683C05">
          <wp:extent cx="166370" cy="166370"/>
          <wp:effectExtent l="0" t="0" r="5080" b="5080"/>
          <wp:docPr id="17" name="Picture 17"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0CC1083F" w14:textId="77777777" w:rsidR="00BA56CF" w:rsidRPr="00F11BDC" w:rsidRDefault="00BA56CF" w:rsidP="00F11BDC">
    <w:pPr>
      <w:pStyle w:val="Header"/>
      <w:tabs>
        <w:tab w:val="clear" w:pos="4513"/>
        <w:tab w:val="clear" w:pos="9026"/>
        <w:tab w:val="left" w:pos="7845"/>
      </w:tabs>
      <w:rPr>
        <w:rFonts w:asciiTheme="majorHAnsi" w:hAnsiTheme="majorHAnsi"/>
        <w:color w:val="806000" w:themeColor="accent4" w:themeShade="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1E41" w14:textId="77777777" w:rsidR="00D0122E" w:rsidRPr="00CB0E47" w:rsidRDefault="00D0122E" w:rsidP="00D0122E">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74C6767B" wp14:editId="7CBC48D6">
          <wp:extent cx="166370" cy="166370"/>
          <wp:effectExtent l="0" t="0" r="5080" b="5080"/>
          <wp:docPr id="18" name="Picture 18"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152739B7" w14:textId="5C3C40C4" w:rsidR="00BA56CF" w:rsidRPr="00CB0E47" w:rsidRDefault="00BA56CF">
    <w:pPr>
      <w:pStyle w:val="Footer"/>
      <w:rPr>
        <w:color w:val="7B7B7B" w:themeColor="accent3" w:themeShade="B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BFDB" w14:textId="77777777" w:rsidR="009949F7" w:rsidRDefault="009949F7" w:rsidP="00E531E9">
      <w:pPr>
        <w:spacing w:after="0" w:line="240" w:lineRule="auto"/>
      </w:pPr>
      <w:r>
        <w:separator/>
      </w:r>
    </w:p>
  </w:footnote>
  <w:footnote w:type="continuationSeparator" w:id="0">
    <w:p w14:paraId="488A5D54" w14:textId="77777777" w:rsidR="009949F7" w:rsidRDefault="009949F7" w:rsidP="00E5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41F1" w14:textId="77777777" w:rsidR="00D0122E" w:rsidRDefault="00D01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F26B" w14:textId="77777777" w:rsidR="00BA56CF" w:rsidRPr="00F11BDC" w:rsidRDefault="00BA56CF"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895" behindDoc="0" locked="0" layoutInCell="1" allowOverlap="1" wp14:anchorId="27124776" wp14:editId="10CAA32B">
              <wp:simplePos x="0" y="0"/>
              <wp:positionH relativeFrom="column">
                <wp:posOffset>-142875</wp:posOffset>
              </wp:positionH>
              <wp:positionV relativeFrom="page">
                <wp:posOffset>445135</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1BEB1184" w14:textId="77777777" w:rsidR="00BA56CF" w:rsidRPr="00F6137F" w:rsidRDefault="00BA56CF"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Pr="00F6137F">
                            <w:rPr>
                              <w:color w:val="7B7B7B" w:themeColor="accent3" w:themeShade="BF"/>
                            </w:rPr>
                            <w:t xml:space="preserve"> </w:t>
                          </w:r>
                          <w:r>
                            <w:rPr>
                              <w:color w:val="7B7B7B" w:themeColor="accent3" w:themeShade="BF"/>
                            </w:rPr>
                            <w:t xml:space="preserve">Smit, Meyer, </w:t>
                          </w:r>
                          <w:proofErr w:type="spellStart"/>
                          <w:r>
                            <w:rPr>
                              <w:color w:val="7B7B7B" w:themeColor="accent3" w:themeShade="BF"/>
                            </w:rPr>
                            <w:t>Crafford</w:t>
                          </w:r>
                          <w:proofErr w:type="spellEnd"/>
                          <w:r>
                            <w:rPr>
                              <w:color w:val="7B7B7B" w:themeColor="accent3" w:themeShade="BF"/>
                            </w:rPr>
                            <w:t xml:space="preserve"> &amp; Parris</w:t>
                          </w:r>
                          <w:r w:rsidRPr="00F6137F">
                            <w:rPr>
                              <w:color w:val="7B7B7B" w:themeColor="accent3" w:themeShade="B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24776" id="_x0000_t202" coordsize="21600,21600" o:spt="202" path="m,l,21600r21600,l21600,xe">
              <v:stroke joinstyle="miter"/>
              <v:path gradientshapeok="t" o:connecttype="rect"/>
            </v:shapetype>
            <v:shape id="_x0000_s1027" type="#_x0000_t202" style="position:absolute;margin-left:-11.25pt;margin-top:35.05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" strokecolor="white [3212]">
              <v:textbox>
                <w:txbxContent>
                  <w:p w14:paraId="1BEB1184" w14:textId="77777777" w:rsidR="00BA56CF" w:rsidRPr="00F6137F" w:rsidRDefault="00BA56CF"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Pr="00F6137F">
                      <w:rPr>
                        <w:color w:val="7B7B7B" w:themeColor="accent3" w:themeShade="BF"/>
                      </w:rPr>
                      <w:t xml:space="preserve"> </w:t>
                    </w:r>
                    <w:r>
                      <w:rPr>
                        <w:color w:val="7B7B7B" w:themeColor="accent3" w:themeShade="BF"/>
                      </w:rPr>
                      <w:t xml:space="preserve">Smit, Meyer, </w:t>
                    </w:r>
                    <w:proofErr w:type="spellStart"/>
                    <w:r>
                      <w:rPr>
                        <w:color w:val="7B7B7B" w:themeColor="accent3" w:themeShade="BF"/>
                      </w:rPr>
                      <w:t>Crafford</w:t>
                    </w:r>
                    <w:proofErr w:type="spellEnd"/>
                    <w:r>
                      <w:rPr>
                        <w:color w:val="7B7B7B" w:themeColor="accent3" w:themeShade="BF"/>
                      </w:rPr>
                      <w:t xml:space="preserve"> &amp; Parris</w:t>
                    </w:r>
                    <w:r w:rsidRPr="00F6137F">
                      <w:rPr>
                        <w:color w:val="7B7B7B" w:themeColor="accent3" w:themeShade="BF"/>
                      </w:rPr>
                      <w:t xml:space="preserve">                                                                                        </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E25F" w14:textId="77777777" w:rsidR="00BA56CF" w:rsidRDefault="00BA56CF">
    <w:pPr>
      <w:pStyle w:val="Heade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384" behindDoc="0" locked="0" layoutInCell="1" allowOverlap="1" wp14:anchorId="68D384C0" wp14:editId="15989A30">
              <wp:simplePos x="0" y="0"/>
              <wp:positionH relativeFrom="column">
                <wp:posOffset>-114300</wp:posOffset>
              </wp:positionH>
              <wp:positionV relativeFrom="page">
                <wp:posOffset>571500</wp:posOffset>
              </wp:positionV>
              <wp:extent cx="6160770" cy="1495425"/>
              <wp:effectExtent l="0" t="0" r="1143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95425"/>
                      </a:xfrm>
                      <a:prstGeom prst="rect">
                        <a:avLst/>
                      </a:prstGeom>
                      <a:solidFill>
                        <a:srgbClr val="FFFFFF"/>
                      </a:solidFill>
                      <a:ln w="9525">
                        <a:solidFill>
                          <a:schemeClr val="bg1"/>
                        </a:solidFill>
                        <a:miter lim="800000"/>
                        <a:headEnd/>
                        <a:tailEnd/>
                      </a:ln>
                    </wps:spPr>
                    <wps:txbx>
                      <w:txbxContent>
                        <w:p w14:paraId="70B079F4" w14:textId="77777777" w:rsidR="00BA56CF" w:rsidRDefault="00BA56CF" w:rsidP="007451DF">
                          <w:pPr>
                            <w:pStyle w:val="Footer"/>
                            <w:rPr>
                              <w:rFonts w:ascii="Calibri Light" w:hAnsi="Calibri Light"/>
                              <w:color w:val="BF8F00" w:themeColor="accent4" w:themeShade="BF"/>
                            </w:rPr>
                          </w:pPr>
                          <w:r>
                            <w:rPr>
                              <w:noProof/>
                              <w:lang w:eastAsia="en-GB"/>
                            </w:rPr>
                            <w:drawing>
                              <wp:inline distT="0" distB="0" distL="0" distR="0" wp14:anchorId="35DC9048" wp14:editId="6997F531">
                                <wp:extent cx="1285364" cy="782320"/>
                                <wp:effectExtent l="0" t="0" r="0" b="0"/>
                                <wp:docPr id="19" name="Picture 19"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D4385D8" w14:textId="77777777" w:rsidR="00BA56CF" w:rsidRPr="00687B80" w:rsidRDefault="00BA56CF" w:rsidP="007451DF">
                          <w:pPr>
                            <w:pStyle w:val="Footer"/>
                            <w:rPr>
                              <w:rFonts w:ascii="Calibri Light" w:hAnsi="Calibri Light"/>
                              <w:color w:val="BF8F00" w:themeColor="accent4" w:themeShade="BF"/>
                            </w:rPr>
                          </w:pPr>
                        </w:p>
                        <w:p w14:paraId="62728137" w14:textId="77777777" w:rsidR="00BA56CF" w:rsidRPr="00687B80" w:rsidRDefault="00BA56CF" w:rsidP="00043F52">
                          <w:pPr>
                            <w:rPr>
                              <w:rFonts w:asciiTheme="majorHAnsi" w:hAnsiTheme="majorHAnsi"/>
                              <w:b/>
                              <w:color w:val="BF8F00" w:themeColor="accent4" w:themeShade="BF"/>
                            </w:rPr>
                          </w:pPr>
                          <w:r w:rsidRPr="00687B80">
                            <w:rPr>
                              <w:color w:val="BF8F00" w:themeColor="accent4" w:themeShade="BF"/>
                            </w:rPr>
                            <w:t xml:space="preserve"> </w:t>
                          </w:r>
                          <w:r w:rsidRPr="00687B80">
                            <w:rPr>
                              <w:rFonts w:asciiTheme="majorHAnsi" w:hAnsiTheme="majorHAnsi"/>
                              <w:b/>
                              <w:color w:val="BF8F00" w:themeColor="accent4" w:themeShade="BF"/>
                            </w:rPr>
                            <w:t>Volume 1, Issue 1                                                                                                                      September 2017</w:t>
                          </w:r>
                        </w:p>
                        <w:p w14:paraId="5DD3FB56" w14:textId="01175532" w:rsidR="00BA56CF" w:rsidRPr="00994B59" w:rsidRDefault="00BA56CF" w:rsidP="00043F52">
                          <w:pPr>
                            <w:rPr>
                              <w:rFonts w:asciiTheme="majorHAnsi" w:hAnsiTheme="majorHAnsi"/>
                              <w:color w:val="BF8F00" w:themeColor="accent4" w:themeShade="BF"/>
                            </w:rPr>
                          </w:pPr>
                          <w:r>
                            <w:rPr>
                              <w:rFonts w:asciiTheme="majorHAnsi" w:hAnsiTheme="majorHAnsi"/>
                              <w:color w:val="806000" w:themeColor="accent4" w:themeShade="80"/>
                            </w:rPr>
                            <w:t xml:space="preserve">  </w:t>
                          </w:r>
                          <w:r w:rsidRPr="00994B59">
                            <w:rPr>
                              <w:rFonts w:asciiTheme="majorHAnsi" w:hAnsiTheme="majorHAnsi"/>
                              <w:color w:val="BF8F00" w:themeColor="accent4" w:themeShade="BF"/>
                            </w:rPr>
                            <w:t xml:space="preserve">Pages: </w:t>
                          </w:r>
                          <w:r w:rsidR="00994B59" w:rsidRPr="00994B59">
                            <w:rPr>
                              <w:rFonts w:asciiTheme="majorHAnsi" w:hAnsiTheme="majorHAnsi"/>
                              <w:color w:val="BF8F00" w:themeColor="accent4" w:themeShade="BF"/>
                            </w:rPr>
                            <w:t>78-</w:t>
                          </w:r>
                          <w:r w:rsidR="00D1513B">
                            <w:rPr>
                              <w:rFonts w:asciiTheme="majorHAnsi" w:hAnsiTheme="majorHAnsi"/>
                              <w:color w:val="BF8F00" w:themeColor="accent4" w:themeShade="BF"/>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384C0" id="_x0000_t202" coordsize="21600,21600" o:spt="202" path="m,l,21600r21600,l21600,xe">
              <v:stroke joinstyle="miter"/>
              <v:path gradientshapeok="t" o:connecttype="rect"/>
            </v:shapetype>
            <v:shape id="_x0000_s1028" type="#_x0000_t202" style="position:absolute;margin-left:-9pt;margin-top:45pt;width:485.1pt;height:11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" strokecolor="white [3212]">
              <v:textbox>
                <w:txbxContent>
                  <w:p w14:paraId="70B079F4" w14:textId="77777777" w:rsidR="00BA56CF" w:rsidRDefault="00BA56CF" w:rsidP="007451DF">
                    <w:pPr>
                      <w:pStyle w:val="Footer"/>
                      <w:rPr>
                        <w:rFonts w:ascii="Calibri Light" w:hAnsi="Calibri Light"/>
                        <w:color w:val="BF8F00" w:themeColor="accent4" w:themeShade="BF"/>
                      </w:rPr>
                    </w:pPr>
                    <w:r>
                      <w:rPr>
                        <w:noProof/>
                        <w:lang w:eastAsia="en-GB"/>
                      </w:rPr>
                      <w:drawing>
                        <wp:inline distT="0" distB="0" distL="0" distR="0" wp14:anchorId="35DC9048" wp14:editId="6997F531">
                          <wp:extent cx="1285364" cy="782320"/>
                          <wp:effectExtent l="0" t="0" r="0" b="0"/>
                          <wp:docPr id="19" name="Picture 19"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D4385D8" w14:textId="77777777" w:rsidR="00BA56CF" w:rsidRPr="00687B80" w:rsidRDefault="00BA56CF" w:rsidP="007451DF">
                    <w:pPr>
                      <w:pStyle w:val="Footer"/>
                      <w:rPr>
                        <w:rFonts w:ascii="Calibri Light" w:hAnsi="Calibri Light"/>
                        <w:color w:val="BF8F00" w:themeColor="accent4" w:themeShade="BF"/>
                      </w:rPr>
                    </w:pPr>
                  </w:p>
                  <w:p w14:paraId="62728137" w14:textId="77777777" w:rsidR="00BA56CF" w:rsidRPr="00687B80" w:rsidRDefault="00BA56CF" w:rsidP="00043F52">
                    <w:pPr>
                      <w:rPr>
                        <w:rFonts w:asciiTheme="majorHAnsi" w:hAnsiTheme="majorHAnsi"/>
                        <w:b/>
                        <w:color w:val="BF8F00" w:themeColor="accent4" w:themeShade="BF"/>
                      </w:rPr>
                    </w:pPr>
                    <w:r w:rsidRPr="00687B80">
                      <w:rPr>
                        <w:color w:val="BF8F00" w:themeColor="accent4" w:themeShade="BF"/>
                      </w:rPr>
                      <w:t xml:space="preserve"> </w:t>
                    </w:r>
                    <w:r w:rsidRPr="00687B80">
                      <w:rPr>
                        <w:rFonts w:asciiTheme="majorHAnsi" w:hAnsiTheme="majorHAnsi"/>
                        <w:b/>
                        <w:color w:val="BF8F00" w:themeColor="accent4" w:themeShade="BF"/>
                      </w:rPr>
                      <w:t>Volume 1, Issue 1                                                                                                                      September 2017</w:t>
                    </w:r>
                  </w:p>
                  <w:p w14:paraId="5DD3FB56" w14:textId="01175532" w:rsidR="00BA56CF" w:rsidRPr="00994B59" w:rsidRDefault="00BA56CF" w:rsidP="00043F52">
                    <w:pPr>
                      <w:rPr>
                        <w:rFonts w:asciiTheme="majorHAnsi" w:hAnsiTheme="majorHAnsi"/>
                        <w:color w:val="BF8F00" w:themeColor="accent4" w:themeShade="BF"/>
                      </w:rPr>
                    </w:pPr>
                    <w:r>
                      <w:rPr>
                        <w:rFonts w:asciiTheme="majorHAnsi" w:hAnsiTheme="majorHAnsi"/>
                        <w:color w:val="806000" w:themeColor="accent4" w:themeShade="80"/>
                      </w:rPr>
                      <w:t xml:space="preserve">  </w:t>
                    </w:r>
                    <w:r w:rsidRPr="00994B59">
                      <w:rPr>
                        <w:rFonts w:asciiTheme="majorHAnsi" w:hAnsiTheme="majorHAnsi"/>
                        <w:color w:val="BF8F00" w:themeColor="accent4" w:themeShade="BF"/>
                      </w:rPr>
                      <w:t xml:space="preserve">Pages: </w:t>
                    </w:r>
                    <w:r w:rsidR="00994B59" w:rsidRPr="00994B59">
                      <w:rPr>
                        <w:rFonts w:asciiTheme="majorHAnsi" w:hAnsiTheme="majorHAnsi"/>
                        <w:color w:val="BF8F00" w:themeColor="accent4" w:themeShade="BF"/>
                      </w:rPr>
                      <w:t>78-</w:t>
                    </w:r>
                    <w:r w:rsidR="00D1513B">
                      <w:rPr>
                        <w:rFonts w:asciiTheme="majorHAnsi" w:hAnsiTheme="majorHAnsi"/>
                        <w:color w:val="BF8F00" w:themeColor="accent4" w:themeShade="BF"/>
                      </w:rPr>
                      <w:t>90</w:t>
                    </w:r>
                  </w:p>
                </w:txbxContent>
              </v:textbox>
              <w10:wrap type="topAndBottom" anchory="page"/>
            </v:shape>
          </w:pict>
        </mc:Fallback>
      </mc:AlternateContent>
    </w:r>
    <w:r>
      <w:rPr>
        <w:rFonts w:ascii="Calibri Light" w:hAnsi="Calibri Light"/>
        <w:b/>
        <w:noProof/>
        <w:color w:val="BF8F00" w:themeColor="accent4" w:themeShade="BF"/>
        <w:sz w:val="16"/>
        <w:lang w:eastAsia="en-GB"/>
      </w:rPr>
      <mc:AlternateContent>
        <mc:Choice Requires="wps">
          <w:drawing>
            <wp:anchor distT="0" distB="0" distL="114300" distR="114300" simplePos="0" relativeHeight="251665408" behindDoc="0" locked="0" layoutInCell="1" allowOverlap="1" wp14:anchorId="1A5FCE26" wp14:editId="68744FCF">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9ACC3F" w14:textId="77777777" w:rsidR="00BA56CF" w:rsidRPr="00B03103" w:rsidRDefault="00BA56CF">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CE26" id="Text Box 1" o:spid="_x0000_s1029"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" fillcolor="white [3201]" strokecolor="white [3212]" strokeweight=".5pt">
              <v:textbox>
                <w:txbxContent>
                  <w:p w14:paraId="399ACC3F" w14:textId="77777777" w:rsidR="00BA56CF" w:rsidRPr="00B03103" w:rsidRDefault="00BA56CF">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14455"/>
    <w:rsid w:val="00024E11"/>
    <w:rsid w:val="00043F52"/>
    <w:rsid w:val="00070AB1"/>
    <w:rsid w:val="0007485B"/>
    <w:rsid w:val="0007728C"/>
    <w:rsid w:val="000777E5"/>
    <w:rsid w:val="000A28B8"/>
    <w:rsid w:val="000B0981"/>
    <w:rsid w:val="000B2E5C"/>
    <w:rsid w:val="000B6199"/>
    <w:rsid w:val="000E795D"/>
    <w:rsid w:val="000F7D63"/>
    <w:rsid w:val="00130A89"/>
    <w:rsid w:val="00135D6D"/>
    <w:rsid w:val="001545C9"/>
    <w:rsid w:val="00163BA6"/>
    <w:rsid w:val="00163E1B"/>
    <w:rsid w:val="0016488B"/>
    <w:rsid w:val="001809DC"/>
    <w:rsid w:val="0018580B"/>
    <w:rsid w:val="0019729C"/>
    <w:rsid w:val="001A1900"/>
    <w:rsid w:val="001A4BD2"/>
    <w:rsid w:val="001B7427"/>
    <w:rsid w:val="001B77F1"/>
    <w:rsid w:val="001D5952"/>
    <w:rsid w:val="001E5D07"/>
    <w:rsid w:val="00201554"/>
    <w:rsid w:val="00205A13"/>
    <w:rsid w:val="00205E99"/>
    <w:rsid w:val="00214EB2"/>
    <w:rsid w:val="00224D5B"/>
    <w:rsid w:val="00225E70"/>
    <w:rsid w:val="00230EBE"/>
    <w:rsid w:val="002318C6"/>
    <w:rsid w:val="002458F9"/>
    <w:rsid w:val="00250FCD"/>
    <w:rsid w:val="00260691"/>
    <w:rsid w:val="002741CC"/>
    <w:rsid w:val="002750EE"/>
    <w:rsid w:val="00285CD8"/>
    <w:rsid w:val="00290516"/>
    <w:rsid w:val="002915A0"/>
    <w:rsid w:val="00293B11"/>
    <w:rsid w:val="0029430D"/>
    <w:rsid w:val="002C3508"/>
    <w:rsid w:val="002D2135"/>
    <w:rsid w:val="002D4421"/>
    <w:rsid w:val="002D532A"/>
    <w:rsid w:val="002D57C8"/>
    <w:rsid w:val="002D7C15"/>
    <w:rsid w:val="002E7917"/>
    <w:rsid w:val="002F6977"/>
    <w:rsid w:val="00306679"/>
    <w:rsid w:val="00307A90"/>
    <w:rsid w:val="00310B61"/>
    <w:rsid w:val="00310DC3"/>
    <w:rsid w:val="00314FE6"/>
    <w:rsid w:val="00324576"/>
    <w:rsid w:val="00337EA4"/>
    <w:rsid w:val="00345D10"/>
    <w:rsid w:val="00347039"/>
    <w:rsid w:val="00350CC4"/>
    <w:rsid w:val="00351319"/>
    <w:rsid w:val="003515F2"/>
    <w:rsid w:val="0035193D"/>
    <w:rsid w:val="0035658E"/>
    <w:rsid w:val="00374F0E"/>
    <w:rsid w:val="00377279"/>
    <w:rsid w:val="00383A56"/>
    <w:rsid w:val="00397528"/>
    <w:rsid w:val="0040073D"/>
    <w:rsid w:val="00407414"/>
    <w:rsid w:val="00415DCD"/>
    <w:rsid w:val="00431C45"/>
    <w:rsid w:val="0046030E"/>
    <w:rsid w:val="004610CE"/>
    <w:rsid w:val="0046672E"/>
    <w:rsid w:val="00483B16"/>
    <w:rsid w:val="0048591A"/>
    <w:rsid w:val="004923B2"/>
    <w:rsid w:val="004B3F4A"/>
    <w:rsid w:val="004C560B"/>
    <w:rsid w:val="004C655E"/>
    <w:rsid w:val="004D0BC1"/>
    <w:rsid w:val="004D445E"/>
    <w:rsid w:val="004D50D9"/>
    <w:rsid w:val="004D6E8C"/>
    <w:rsid w:val="004E4A9A"/>
    <w:rsid w:val="00505405"/>
    <w:rsid w:val="0050553B"/>
    <w:rsid w:val="00510860"/>
    <w:rsid w:val="0052207E"/>
    <w:rsid w:val="00531E62"/>
    <w:rsid w:val="00541566"/>
    <w:rsid w:val="00575ED8"/>
    <w:rsid w:val="005764CC"/>
    <w:rsid w:val="00576F83"/>
    <w:rsid w:val="005C4820"/>
    <w:rsid w:val="005C6F03"/>
    <w:rsid w:val="005C78F9"/>
    <w:rsid w:val="005D2766"/>
    <w:rsid w:val="005E52AA"/>
    <w:rsid w:val="005E765E"/>
    <w:rsid w:val="005F66E4"/>
    <w:rsid w:val="005F702D"/>
    <w:rsid w:val="00600F36"/>
    <w:rsid w:val="00601C15"/>
    <w:rsid w:val="00641783"/>
    <w:rsid w:val="006441AC"/>
    <w:rsid w:val="00655063"/>
    <w:rsid w:val="0066535A"/>
    <w:rsid w:val="006830F5"/>
    <w:rsid w:val="00683BD0"/>
    <w:rsid w:val="00687B80"/>
    <w:rsid w:val="006A1392"/>
    <w:rsid w:val="006A1A71"/>
    <w:rsid w:val="006B4A5A"/>
    <w:rsid w:val="006B5E6E"/>
    <w:rsid w:val="006C551B"/>
    <w:rsid w:val="006D153F"/>
    <w:rsid w:val="006D426A"/>
    <w:rsid w:val="006F42C2"/>
    <w:rsid w:val="00712560"/>
    <w:rsid w:val="00722E9A"/>
    <w:rsid w:val="007269A8"/>
    <w:rsid w:val="007451DF"/>
    <w:rsid w:val="007453E4"/>
    <w:rsid w:val="007476F2"/>
    <w:rsid w:val="00747F6B"/>
    <w:rsid w:val="0076314B"/>
    <w:rsid w:val="007736B8"/>
    <w:rsid w:val="00781842"/>
    <w:rsid w:val="00781B5A"/>
    <w:rsid w:val="007904CC"/>
    <w:rsid w:val="007A17C3"/>
    <w:rsid w:val="007C7E58"/>
    <w:rsid w:val="007D4C90"/>
    <w:rsid w:val="007D71EA"/>
    <w:rsid w:val="007F0FE6"/>
    <w:rsid w:val="007F2243"/>
    <w:rsid w:val="007F4A76"/>
    <w:rsid w:val="007F73C9"/>
    <w:rsid w:val="008136A6"/>
    <w:rsid w:val="008149C2"/>
    <w:rsid w:val="008178FD"/>
    <w:rsid w:val="00821524"/>
    <w:rsid w:val="008469F8"/>
    <w:rsid w:val="00872FC4"/>
    <w:rsid w:val="00875EC3"/>
    <w:rsid w:val="00893C07"/>
    <w:rsid w:val="00895301"/>
    <w:rsid w:val="008968CF"/>
    <w:rsid w:val="008B2A40"/>
    <w:rsid w:val="008B4DA2"/>
    <w:rsid w:val="008B5C93"/>
    <w:rsid w:val="008C3F99"/>
    <w:rsid w:val="008C5B60"/>
    <w:rsid w:val="008C7D80"/>
    <w:rsid w:val="008D2DDA"/>
    <w:rsid w:val="008D4669"/>
    <w:rsid w:val="008F4466"/>
    <w:rsid w:val="008F71BA"/>
    <w:rsid w:val="0090253B"/>
    <w:rsid w:val="00902B7B"/>
    <w:rsid w:val="00905570"/>
    <w:rsid w:val="00905845"/>
    <w:rsid w:val="00913965"/>
    <w:rsid w:val="00931EA9"/>
    <w:rsid w:val="009320C7"/>
    <w:rsid w:val="00935D73"/>
    <w:rsid w:val="00942857"/>
    <w:rsid w:val="00971F22"/>
    <w:rsid w:val="00986D1A"/>
    <w:rsid w:val="009905ED"/>
    <w:rsid w:val="009943E9"/>
    <w:rsid w:val="009949F7"/>
    <w:rsid w:val="00994B59"/>
    <w:rsid w:val="00996AF3"/>
    <w:rsid w:val="009A4A3D"/>
    <w:rsid w:val="009A66FD"/>
    <w:rsid w:val="009B3219"/>
    <w:rsid w:val="009B4A6B"/>
    <w:rsid w:val="009B52A3"/>
    <w:rsid w:val="009B728B"/>
    <w:rsid w:val="009C1DC4"/>
    <w:rsid w:val="009E4AF9"/>
    <w:rsid w:val="009E59CA"/>
    <w:rsid w:val="009F6A7C"/>
    <w:rsid w:val="00A113B9"/>
    <w:rsid w:val="00A26701"/>
    <w:rsid w:val="00A34B1B"/>
    <w:rsid w:val="00A3627A"/>
    <w:rsid w:val="00A42354"/>
    <w:rsid w:val="00A616D0"/>
    <w:rsid w:val="00A80EED"/>
    <w:rsid w:val="00A9204D"/>
    <w:rsid w:val="00A9677F"/>
    <w:rsid w:val="00AA7BCC"/>
    <w:rsid w:val="00AB3703"/>
    <w:rsid w:val="00AB6436"/>
    <w:rsid w:val="00AD1689"/>
    <w:rsid w:val="00AD60AE"/>
    <w:rsid w:val="00AE1F0B"/>
    <w:rsid w:val="00B03103"/>
    <w:rsid w:val="00B04123"/>
    <w:rsid w:val="00B176CC"/>
    <w:rsid w:val="00B3103A"/>
    <w:rsid w:val="00B36BE8"/>
    <w:rsid w:val="00B407DB"/>
    <w:rsid w:val="00B52DBA"/>
    <w:rsid w:val="00B76342"/>
    <w:rsid w:val="00B96F9F"/>
    <w:rsid w:val="00BA018A"/>
    <w:rsid w:val="00BA485A"/>
    <w:rsid w:val="00BA56CF"/>
    <w:rsid w:val="00BB4BCD"/>
    <w:rsid w:val="00BC2295"/>
    <w:rsid w:val="00BC2CA3"/>
    <w:rsid w:val="00BD263F"/>
    <w:rsid w:val="00BD2705"/>
    <w:rsid w:val="00BD3D53"/>
    <w:rsid w:val="00BD3E5C"/>
    <w:rsid w:val="00BF02D8"/>
    <w:rsid w:val="00BF226A"/>
    <w:rsid w:val="00C07316"/>
    <w:rsid w:val="00C122A1"/>
    <w:rsid w:val="00C16AEC"/>
    <w:rsid w:val="00C24FEB"/>
    <w:rsid w:val="00C314E7"/>
    <w:rsid w:val="00C33A2E"/>
    <w:rsid w:val="00C4794F"/>
    <w:rsid w:val="00C50B14"/>
    <w:rsid w:val="00C60A47"/>
    <w:rsid w:val="00C65152"/>
    <w:rsid w:val="00C71C55"/>
    <w:rsid w:val="00C74B2B"/>
    <w:rsid w:val="00C758F4"/>
    <w:rsid w:val="00C81959"/>
    <w:rsid w:val="00C9098B"/>
    <w:rsid w:val="00C969BE"/>
    <w:rsid w:val="00C96AB6"/>
    <w:rsid w:val="00C97538"/>
    <w:rsid w:val="00CA0744"/>
    <w:rsid w:val="00CB0E47"/>
    <w:rsid w:val="00CB4A82"/>
    <w:rsid w:val="00CB6B07"/>
    <w:rsid w:val="00CC320B"/>
    <w:rsid w:val="00CC3C7B"/>
    <w:rsid w:val="00CD64D1"/>
    <w:rsid w:val="00CE33B6"/>
    <w:rsid w:val="00D0122E"/>
    <w:rsid w:val="00D03B76"/>
    <w:rsid w:val="00D10220"/>
    <w:rsid w:val="00D1513B"/>
    <w:rsid w:val="00D379D7"/>
    <w:rsid w:val="00D61E53"/>
    <w:rsid w:val="00D66B6E"/>
    <w:rsid w:val="00D715B6"/>
    <w:rsid w:val="00D936F2"/>
    <w:rsid w:val="00DA7778"/>
    <w:rsid w:val="00DD7ECC"/>
    <w:rsid w:val="00DE2ACA"/>
    <w:rsid w:val="00E052C4"/>
    <w:rsid w:val="00E272DE"/>
    <w:rsid w:val="00E33553"/>
    <w:rsid w:val="00E3704A"/>
    <w:rsid w:val="00E41F20"/>
    <w:rsid w:val="00E51C17"/>
    <w:rsid w:val="00E527DD"/>
    <w:rsid w:val="00E531E9"/>
    <w:rsid w:val="00E55A88"/>
    <w:rsid w:val="00E574AD"/>
    <w:rsid w:val="00E608E1"/>
    <w:rsid w:val="00E6383C"/>
    <w:rsid w:val="00E641AD"/>
    <w:rsid w:val="00E837F0"/>
    <w:rsid w:val="00E90A51"/>
    <w:rsid w:val="00EA5710"/>
    <w:rsid w:val="00EB0A35"/>
    <w:rsid w:val="00EC491C"/>
    <w:rsid w:val="00EE480B"/>
    <w:rsid w:val="00EF12C9"/>
    <w:rsid w:val="00EF6FA2"/>
    <w:rsid w:val="00EF7B0E"/>
    <w:rsid w:val="00F01465"/>
    <w:rsid w:val="00F11BDC"/>
    <w:rsid w:val="00F12E7C"/>
    <w:rsid w:val="00F13250"/>
    <w:rsid w:val="00F3403F"/>
    <w:rsid w:val="00F43DE9"/>
    <w:rsid w:val="00F44415"/>
    <w:rsid w:val="00F546FE"/>
    <w:rsid w:val="00F56697"/>
    <w:rsid w:val="00F6137F"/>
    <w:rsid w:val="00F61E90"/>
    <w:rsid w:val="00F71C95"/>
    <w:rsid w:val="00F77DC0"/>
    <w:rsid w:val="00F82F21"/>
    <w:rsid w:val="00FB3EE7"/>
    <w:rsid w:val="00FC2953"/>
    <w:rsid w:val="00FD2129"/>
    <w:rsid w:val="00FF662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E0157"/>
  <w15:docId w15:val="{A4811AD1-9180-43F2-B53E-4F81E16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unhideWhenUsed/>
    <w:qFormat/>
    <w:rsid w:val="00A42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235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D7ECC"/>
    <w:pPr>
      <w:spacing w:after="0" w:line="240" w:lineRule="auto"/>
    </w:pPr>
    <w:rPr>
      <w:lang w:val="en-GB"/>
    </w:rPr>
  </w:style>
  <w:style w:type="paragraph" w:styleId="BalloonText">
    <w:name w:val="Balloon Text"/>
    <w:basedOn w:val="Normal"/>
    <w:link w:val="BalloonTextChar"/>
    <w:uiPriority w:val="99"/>
    <w:semiHidden/>
    <w:unhideWhenUsed/>
    <w:rsid w:val="00DD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CC"/>
    <w:rPr>
      <w:rFonts w:ascii="Segoe UI" w:hAnsi="Segoe UI" w:cs="Segoe UI"/>
      <w:sz w:val="18"/>
      <w:szCs w:val="18"/>
      <w:lang w:val="en-GB"/>
    </w:rPr>
  </w:style>
  <w:style w:type="character" w:styleId="CommentReference">
    <w:name w:val="annotation reference"/>
    <w:basedOn w:val="DefaultParagraphFont"/>
    <w:uiPriority w:val="99"/>
    <w:semiHidden/>
    <w:unhideWhenUsed/>
    <w:rsid w:val="00601C15"/>
    <w:rPr>
      <w:sz w:val="16"/>
      <w:szCs w:val="16"/>
    </w:rPr>
  </w:style>
  <w:style w:type="paragraph" w:styleId="CommentSubject">
    <w:name w:val="annotation subject"/>
    <w:basedOn w:val="CommentText"/>
    <w:next w:val="CommentText"/>
    <w:link w:val="CommentSubjectChar"/>
    <w:uiPriority w:val="99"/>
    <w:semiHidden/>
    <w:unhideWhenUsed/>
    <w:rsid w:val="00601C15"/>
    <w:pPr>
      <w:spacing w:after="160"/>
    </w:pPr>
    <w:rPr>
      <w:rFonts w:eastAsiaTheme="minorHAnsi"/>
      <w:b/>
      <w:bCs/>
      <w:sz w:val="20"/>
      <w:szCs w:val="20"/>
      <w:lang w:val="en-GB" w:eastAsia="en-US"/>
    </w:rPr>
  </w:style>
  <w:style w:type="character" w:customStyle="1" w:styleId="CommentSubjectChar">
    <w:name w:val="Comment Subject Char"/>
    <w:basedOn w:val="CommentTextChar"/>
    <w:link w:val="CommentSubject"/>
    <w:uiPriority w:val="99"/>
    <w:semiHidden/>
    <w:rsid w:val="00601C15"/>
    <w:rPr>
      <w:rFonts w:eastAsiaTheme="minorEastAsia"/>
      <w:b/>
      <w:bCs/>
      <w:sz w:val="20"/>
      <w:szCs w:val="20"/>
      <w:lang w:val="en-GB" w:eastAsia="ja-JP"/>
    </w:rPr>
  </w:style>
  <w:style w:type="character" w:customStyle="1" w:styleId="journal-title-text">
    <w:name w:val="journal-title-text"/>
    <w:basedOn w:val="DefaultParagraphFont"/>
    <w:rsid w:val="00374F0E"/>
  </w:style>
  <w:style w:type="paragraph" w:styleId="NoSpacing">
    <w:name w:val="No Spacing"/>
    <w:uiPriority w:val="1"/>
    <w:qFormat/>
    <w:rsid w:val="00EA57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742532209">
      <w:bodyDiv w:val="1"/>
      <w:marLeft w:val="0"/>
      <w:marRight w:val="0"/>
      <w:marTop w:val="0"/>
      <w:marBottom w:val="0"/>
      <w:divBdr>
        <w:top w:val="none" w:sz="0" w:space="0" w:color="auto"/>
        <w:left w:val="none" w:sz="0" w:space="0" w:color="auto"/>
        <w:bottom w:val="none" w:sz="0" w:space="0" w:color="auto"/>
        <w:right w:val="none" w:sz="0" w:space="0" w:color="auto"/>
      </w:divBdr>
    </w:div>
    <w:div w:id="904022781">
      <w:bodyDiv w:val="1"/>
      <w:marLeft w:val="0"/>
      <w:marRight w:val="0"/>
      <w:marTop w:val="0"/>
      <w:marBottom w:val="0"/>
      <w:divBdr>
        <w:top w:val="none" w:sz="0" w:space="0" w:color="auto"/>
        <w:left w:val="none" w:sz="0" w:space="0" w:color="auto"/>
        <w:bottom w:val="none" w:sz="0" w:space="0" w:color="auto"/>
        <w:right w:val="none" w:sz="0" w:space="0" w:color="auto"/>
      </w:divBdr>
    </w:div>
    <w:div w:id="1222407069">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527982073">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1954944182">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9A19-0A89-4490-AB3A-0C498E3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30</cp:revision>
  <cp:lastPrinted>2017-09-06T19:57:00Z</cp:lastPrinted>
  <dcterms:created xsi:type="dcterms:W3CDTF">2017-09-04T07:42:00Z</dcterms:created>
  <dcterms:modified xsi:type="dcterms:W3CDTF">2017-09-06T19:58:00Z</dcterms:modified>
</cp:coreProperties>
</file>